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A32A8" w14:textId="77777777" w:rsidR="00552B4C" w:rsidRPr="006B098A" w:rsidRDefault="00552B4C" w:rsidP="009A2A94">
      <w:pPr>
        <w:spacing w:after="120"/>
        <w:jc w:val="left"/>
        <w:rPr>
          <w:b/>
          <w:sz w:val="24"/>
          <w:szCs w:val="24"/>
        </w:rPr>
      </w:pPr>
      <w:bookmarkStart w:id="0" w:name="bmMainTitle"/>
    </w:p>
    <w:p w14:paraId="173DA7BD" w14:textId="78EFF26A" w:rsidR="009D687E" w:rsidRPr="006B098A" w:rsidRDefault="00C81A3A" w:rsidP="009A2A94">
      <w:pPr>
        <w:spacing w:after="120"/>
        <w:jc w:val="left"/>
        <w:rPr>
          <w:b/>
          <w:sz w:val="24"/>
          <w:szCs w:val="24"/>
        </w:rPr>
      </w:pPr>
      <w:r w:rsidRPr="006B098A">
        <w:rPr>
          <w:b/>
          <w:sz w:val="24"/>
          <w:szCs w:val="24"/>
        </w:rPr>
        <w:t xml:space="preserve">SUMMARY </w:t>
      </w:r>
      <w:r w:rsidR="009D687E" w:rsidRPr="006B098A">
        <w:rPr>
          <w:b/>
          <w:sz w:val="24"/>
          <w:szCs w:val="24"/>
        </w:rPr>
        <w:t>MINUTES</w:t>
      </w:r>
    </w:p>
    <w:p w14:paraId="3358C78A" w14:textId="05C73BF5" w:rsidR="009D687E" w:rsidRPr="006B098A" w:rsidRDefault="00917C31" w:rsidP="00753A89">
      <w:pPr>
        <w:jc w:val="left"/>
        <w:rPr>
          <w:b/>
          <w:sz w:val="24"/>
          <w:szCs w:val="24"/>
        </w:rPr>
      </w:pPr>
      <w:r w:rsidRPr="006B098A">
        <w:rPr>
          <w:b/>
          <w:sz w:val="24"/>
          <w:szCs w:val="24"/>
        </w:rPr>
        <w:t>ICI Telephone Co</w:t>
      </w:r>
      <w:r w:rsidR="00753A89" w:rsidRPr="006B098A">
        <w:rPr>
          <w:b/>
          <w:sz w:val="24"/>
          <w:szCs w:val="24"/>
        </w:rPr>
        <w:t>nference with representatives of</w:t>
      </w:r>
      <w:r w:rsidR="009D687E" w:rsidRPr="006B098A">
        <w:rPr>
          <w:b/>
          <w:sz w:val="24"/>
          <w:szCs w:val="24"/>
        </w:rPr>
        <w:t xml:space="preserve"> </w:t>
      </w:r>
      <w:r w:rsidR="00753A89" w:rsidRPr="006B098A">
        <w:rPr>
          <w:b/>
          <w:sz w:val="24"/>
          <w:szCs w:val="24"/>
        </w:rPr>
        <w:t xml:space="preserve">EFMLG, </w:t>
      </w:r>
      <w:r w:rsidR="00F00C04" w:rsidRPr="006B098A">
        <w:rPr>
          <w:b/>
          <w:sz w:val="24"/>
          <w:szCs w:val="24"/>
        </w:rPr>
        <w:t xml:space="preserve">FLB, </w:t>
      </w:r>
      <w:r w:rsidRPr="006B098A">
        <w:rPr>
          <w:b/>
          <w:sz w:val="24"/>
          <w:szCs w:val="24"/>
        </w:rPr>
        <w:t xml:space="preserve">FMLC, </w:t>
      </w:r>
      <w:r w:rsidR="00753A89" w:rsidRPr="006B098A">
        <w:rPr>
          <w:b/>
          <w:sz w:val="24"/>
          <w:szCs w:val="24"/>
        </w:rPr>
        <w:t xml:space="preserve">FMLG, </w:t>
      </w:r>
      <w:r w:rsidR="00F00C04" w:rsidRPr="006B098A">
        <w:rPr>
          <w:b/>
          <w:sz w:val="24"/>
          <w:szCs w:val="24"/>
        </w:rPr>
        <w:t xml:space="preserve">HKMA, </w:t>
      </w:r>
      <w:r w:rsidR="00AA30CC" w:rsidRPr="006B098A">
        <w:rPr>
          <w:b/>
          <w:sz w:val="24"/>
          <w:szCs w:val="24"/>
        </w:rPr>
        <w:t xml:space="preserve">MAS, </w:t>
      </w:r>
      <w:r w:rsidR="00CA1139" w:rsidRPr="006B098A">
        <w:rPr>
          <w:b/>
          <w:sz w:val="24"/>
          <w:szCs w:val="24"/>
        </w:rPr>
        <w:t xml:space="preserve">and </w:t>
      </w:r>
      <w:r w:rsidR="00753A89" w:rsidRPr="006B098A">
        <w:rPr>
          <w:b/>
          <w:sz w:val="24"/>
          <w:szCs w:val="24"/>
        </w:rPr>
        <w:t>SNB</w:t>
      </w:r>
      <w:bookmarkEnd w:id="0"/>
    </w:p>
    <w:p w14:paraId="459925AA" w14:textId="63D4AC26" w:rsidR="007D2338" w:rsidRPr="006B098A" w:rsidRDefault="001B2EEF" w:rsidP="00552B4C">
      <w:pPr>
        <w:jc w:val="left"/>
        <w:rPr>
          <w:sz w:val="24"/>
          <w:szCs w:val="24"/>
        </w:rPr>
      </w:pPr>
      <w:r w:rsidRPr="006B098A">
        <w:rPr>
          <w:sz w:val="24"/>
          <w:szCs w:val="24"/>
        </w:rPr>
        <w:t>Monday</w:t>
      </w:r>
      <w:r w:rsidR="00753A89" w:rsidRPr="006B098A">
        <w:rPr>
          <w:sz w:val="24"/>
          <w:szCs w:val="24"/>
        </w:rPr>
        <w:t xml:space="preserve">, </w:t>
      </w:r>
      <w:r w:rsidR="00AA30CC" w:rsidRPr="006B098A">
        <w:rPr>
          <w:sz w:val="24"/>
          <w:szCs w:val="24"/>
        </w:rPr>
        <w:t>15 October 2018</w:t>
      </w:r>
      <w:r w:rsidR="00753A89" w:rsidRPr="006B098A">
        <w:rPr>
          <w:sz w:val="24"/>
          <w:szCs w:val="24"/>
        </w:rPr>
        <w:t xml:space="preserve">, </w:t>
      </w:r>
      <w:r w:rsidR="00AA30CC" w:rsidRPr="006B098A">
        <w:rPr>
          <w:sz w:val="24"/>
          <w:szCs w:val="24"/>
        </w:rPr>
        <w:t>20</w:t>
      </w:r>
      <w:r w:rsidR="006D0A69" w:rsidRPr="006B098A">
        <w:rPr>
          <w:sz w:val="24"/>
          <w:szCs w:val="24"/>
        </w:rPr>
        <w:t>:00-</w:t>
      </w:r>
      <w:r w:rsidR="00AA30CC" w:rsidRPr="006B098A">
        <w:rPr>
          <w:sz w:val="24"/>
          <w:szCs w:val="24"/>
        </w:rPr>
        <w:t>2</w:t>
      </w:r>
      <w:r w:rsidR="00945126" w:rsidRPr="006B098A">
        <w:rPr>
          <w:sz w:val="24"/>
          <w:szCs w:val="24"/>
        </w:rPr>
        <w:t>1</w:t>
      </w:r>
      <w:r w:rsidR="006D0A69" w:rsidRPr="006B098A">
        <w:rPr>
          <w:sz w:val="24"/>
          <w:szCs w:val="24"/>
        </w:rPr>
        <w:t>:</w:t>
      </w:r>
      <w:r w:rsidR="00945126" w:rsidRPr="006B098A">
        <w:rPr>
          <w:sz w:val="24"/>
          <w:szCs w:val="24"/>
        </w:rPr>
        <w:t>45</w:t>
      </w:r>
      <w:r w:rsidR="00AA30CC" w:rsidRPr="006B098A">
        <w:rPr>
          <w:sz w:val="24"/>
          <w:szCs w:val="24"/>
        </w:rPr>
        <w:t xml:space="preserve"> Hong Kong</w:t>
      </w:r>
      <w:r w:rsidR="006D0A69" w:rsidRPr="006B098A">
        <w:rPr>
          <w:sz w:val="24"/>
          <w:szCs w:val="24"/>
        </w:rPr>
        <w:t xml:space="preserve"> time </w:t>
      </w:r>
    </w:p>
    <w:p w14:paraId="70DD1C79" w14:textId="77777777" w:rsidR="00552B4C" w:rsidRPr="006B098A" w:rsidRDefault="00552B4C" w:rsidP="00552B4C">
      <w:pPr>
        <w:jc w:val="left"/>
        <w:rPr>
          <w:sz w:val="24"/>
          <w:szCs w:val="24"/>
        </w:rPr>
      </w:pPr>
    </w:p>
    <w:p w14:paraId="4F965C07" w14:textId="77777777" w:rsidR="00552B4C" w:rsidRPr="006B098A" w:rsidRDefault="00552B4C" w:rsidP="00552B4C">
      <w:pPr>
        <w:jc w:val="left"/>
        <w:rPr>
          <w:sz w:val="24"/>
          <w:szCs w:val="24"/>
        </w:rPr>
      </w:pPr>
    </w:p>
    <w:tbl>
      <w:tblPr>
        <w:tblStyle w:val="TableGrid"/>
        <w:tblW w:w="0" w:type="auto"/>
        <w:tblLook w:val="01E0" w:firstRow="1" w:lastRow="1" w:firstColumn="1" w:lastColumn="1" w:noHBand="0" w:noVBand="0"/>
      </w:tblPr>
      <w:tblGrid>
        <w:gridCol w:w="817"/>
        <w:gridCol w:w="4285"/>
        <w:gridCol w:w="9400"/>
      </w:tblGrid>
      <w:tr w:rsidR="00263651" w:rsidRPr="00792624" w14:paraId="46B25A28" w14:textId="77777777" w:rsidTr="00263651">
        <w:tc>
          <w:tcPr>
            <w:tcW w:w="817" w:type="dxa"/>
          </w:tcPr>
          <w:p w14:paraId="323F23C5" w14:textId="54DED2C0" w:rsidR="00263651" w:rsidRPr="00034024" w:rsidRDefault="00263651" w:rsidP="00263651">
            <w:pPr>
              <w:tabs>
                <w:tab w:val="clear" w:pos="851"/>
              </w:tabs>
              <w:ind w:rightChars="-49" w:right="-108" w:firstLineChars="59" w:firstLine="142"/>
              <w:jc w:val="left"/>
              <w:rPr>
                <w:b/>
                <w:sz w:val="24"/>
                <w:szCs w:val="24"/>
              </w:rPr>
            </w:pPr>
            <w:r w:rsidRPr="00034024">
              <w:rPr>
                <w:b/>
                <w:sz w:val="24"/>
                <w:szCs w:val="24"/>
              </w:rPr>
              <w:t>1.</w:t>
            </w:r>
          </w:p>
        </w:tc>
        <w:tc>
          <w:tcPr>
            <w:tcW w:w="4285" w:type="dxa"/>
          </w:tcPr>
          <w:p w14:paraId="1F46B5EA" w14:textId="40A26D12" w:rsidR="00263651" w:rsidRPr="00034024" w:rsidRDefault="00263651" w:rsidP="00263651">
            <w:pPr>
              <w:tabs>
                <w:tab w:val="clear" w:pos="851"/>
                <w:tab w:val="left" w:pos="447"/>
              </w:tabs>
              <w:jc w:val="left"/>
              <w:rPr>
                <w:b/>
                <w:sz w:val="24"/>
                <w:szCs w:val="24"/>
              </w:rPr>
            </w:pPr>
            <w:r w:rsidRPr="00034024">
              <w:rPr>
                <w:b/>
                <w:sz w:val="24"/>
                <w:szCs w:val="24"/>
              </w:rPr>
              <w:t xml:space="preserve">EFMLG initiatives </w:t>
            </w:r>
          </w:p>
          <w:p w14:paraId="76BD8C99" w14:textId="77777777" w:rsidR="00263651" w:rsidRPr="00034024" w:rsidRDefault="00263651" w:rsidP="00753A89">
            <w:pPr>
              <w:ind w:hanging="720"/>
              <w:jc w:val="left"/>
              <w:rPr>
                <w:sz w:val="24"/>
                <w:szCs w:val="24"/>
              </w:rPr>
            </w:pPr>
          </w:p>
        </w:tc>
        <w:tc>
          <w:tcPr>
            <w:tcW w:w="9400" w:type="dxa"/>
          </w:tcPr>
          <w:p w14:paraId="60C7CB6E" w14:textId="5C828AE1" w:rsidR="00263651" w:rsidRPr="006B098A" w:rsidRDefault="00263651" w:rsidP="00C51BCB">
            <w:pPr>
              <w:rPr>
                <w:b/>
                <w:sz w:val="24"/>
                <w:szCs w:val="24"/>
              </w:rPr>
            </w:pPr>
            <w:r w:rsidRPr="006B098A">
              <w:rPr>
                <w:b/>
                <w:sz w:val="24"/>
                <w:szCs w:val="24"/>
              </w:rPr>
              <w:t>European Financial Markets Lawyers Group (European Central Bank)</w:t>
            </w:r>
          </w:p>
          <w:p w14:paraId="6BD432EB" w14:textId="5BB8448D" w:rsidR="00263651" w:rsidRPr="00792624" w:rsidRDefault="00263651" w:rsidP="00792624">
            <w:pPr>
              <w:spacing w:after="0" w:line="300" w:lineRule="atLeast"/>
              <w:rPr>
                <w:sz w:val="24"/>
                <w:szCs w:val="24"/>
                <w:lang w:val="es-ES"/>
              </w:rPr>
            </w:pPr>
            <w:r w:rsidRPr="00792624">
              <w:rPr>
                <w:rFonts w:eastAsia="MS Mincho"/>
                <w:sz w:val="24"/>
                <w:szCs w:val="24"/>
                <w:lang w:val="es-ES" w:eastAsia="ja-JP"/>
              </w:rPr>
              <w:t>Iñigo Arruga, Marta Szablewska</w:t>
            </w:r>
          </w:p>
        </w:tc>
      </w:tr>
      <w:tr w:rsidR="00263651" w:rsidRPr="006B098A" w14:paraId="75865E5B" w14:textId="77777777" w:rsidTr="00263651">
        <w:tc>
          <w:tcPr>
            <w:tcW w:w="817" w:type="dxa"/>
          </w:tcPr>
          <w:p w14:paraId="6D752E72" w14:textId="3668ED99" w:rsidR="00263651" w:rsidRPr="00034024" w:rsidRDefault="00263651" w:rsidP="00034024">
            <w:pPr>
              <w:widowControl w:val="0"/>
              <w:spacing w:after="0" w:line="240" w:lineRule="auto"/>
              <w:ind w:leftChars="-64" w:left="13" w:hangingChars="64" w:hanging="154"/>
              <w:jc w:val="center"/>
              <w:rPr>
                <w:sz w:val="24"/>
                <w:szCs w:val="24"/>
              </w:rPr>
            </w:pPr>
            <w:r w:rsidRPr="00034024">
              <w:rPr>
                <w:sz w:val="24"/>
                <w:szCs w:val="24"/>
              </w:rPr>
              <w:t>a.</w:t>
            </w:r>
          </w:p>
        </w:tc>
        <w:tc>
          <w:tcPr>
            <w:tcW w:w="4285" w:type="dxa"/>
          </w:tcPr>
          <w:p w14:paraId="7EBDEF34" w14:textId="3B4BFEA7" w:rsidR="00263651" w:rsidRPr="00034024" w:rsidRDefault="00263651" w:rsidP="000B1BA7">
            <w:pPr>
              <w:widowControl w:val="0"/>
              <w:spacing w:after="0" w:line="240" w:lineRule="auto"/>
              <w:ind w:leftChars="6" w:left="13" w:rightChars="159" w:right="350"/>
              <w:rPr>
                <w:sz w:val="24"/>
                <w:szCs w:val="24"/>
              </w:rPr>
            </w:pPr>
            <w:r w:rsidRPr="00034024">
              <w:rPr>
                <w:sz w:val="24"/>
                <w:szCs w:val="24"/>
              </w:rPr>
              <w:t xml:space="preserve">Euro Short-Term Rate (ESTER) and Euro Interbank Offered Rate (Euribor). State of Play </w:t>
            </w:r>
          </w:p>
          <w:p w14:paraId="4D8FF9D0" w14:textId="77777777" w:rsidR="00263651" w:rsidRPr="00034024" w:rsidRDefault="00263651" w:rsidP="000B1BA7">
            <w:pPr>
              <w:pStyle w:val="ListParagraph"/>
              <w:spacing w:after="60" w:line="300" w:lineRule="atLeast"/>
              <w:ind w:leftChars="6" w:left="13" w:rightChars="159" w:right="350"/>
              <w:rPr>
                <w:rFonts w:ascii="Times New Roman" w:hAnsi="Times New Roman"/>
                <w:szCs w:val="24"/>
              </w:rPr>
            </w:pPr>
          </w:p>
          <w:p w14:paraId="1D89F766" w14:textId="0DCFE876" w:rsidR="00263651" w:rsidRPr="00034024" w:rsidRDefault="00263651" w:rsidP="000B1BA7">
            <w:pPr>
              <w:pStyle w:val="ListParagraph"/>
              <w:spacing w:after="60" w:line="300" w:lineRule="atLeast"/>
              <w:ind w:leftChars="6" w:left="13" w:rightChars="159" w:right="350"/>
              <w:rPr>
                <w:rFonts w:ascii="Times New Roman" w:hAnsi="Times New Roman"/>
                <w:szCs w:val="24"/>
              </w:rPr>
            </w:pPr>
          </w:p>
        </w:tc>
        <w:tc>
          <w:tcPr>
            <w:tcW w:w="9400" w:type="dxa"/>
          </w:tcPr>
          <w:p w14:paraId="4F988C96" w14:textId="666AEF56" w:rsidR="00F6015F" w:rsidRDefault="00612B87" w:rsidP="00F020EC">
            <w:pPr>
              <w:ind w:leftChars="6" w:left="13"/>
              <w:rPr>
                <w:sz w:val="24"/>
                <w:szCs w:val="24"/>
              </w:rPr>
            </w:pPr>
            <w:r>
              <w:rPr>
                <w:sz w:val="24"/>
                <w:szCs w:val="24"/>
              </w:rPr>
              <w:t xml:space="preserve">On 13 September the Working group on </w:t>
            </w:r>
            <w:r w:rsidR="00402ACF">
              <w:rPr>
                <w:sz w:val="24"/>
                <w:szCs w:val="24"/>
              </w:rPr>
              <w:t>euro</w:t>
            </w:r>
            <w:r>
              <w:rPr>
                <w:sz w:val="24"/>
                <w:szCs w:val="24"/>
              </w:rPr>
              <w:t xml:space="preserve"> risk free rates, recommended ESTER, the new overnight unsecured rate the ECB is developing, as the preferred euro risk free rate. The ECB has announced that it will produce ESTER by October 2019 at the latest</w:t>
            </w:r>
            <w:r w:rsidR="00402ACF">
              <w:rPr>
                <w:sz w:val="24"/>
                <w:szCs w:val="24"/>
              </w:rPr>
              <w:t xml:space="preserve">, and in preparation it is finalising the technical parameters and the legal acts </w:t>
            </w:r>
            <w:r w:rsidR="00CB55E6">
              <w:rPr>
                <w:sz w:val="24"/>
                <w:szCs w:val="24"/>
              </w:rPr>
              <w:t xml:space="preserve">which will </w:t>
            </w:r>
            <w:r w:rsidR="00402ACF">
              <w:rPr>
                <w:sz w:val="24"/>
                <w:szCs w:val="24"/>
              </w:rPr>
              <w:t>underpin the new rate</w:t>
            </w:r>
            <w:r>
              <w:rPr>
                <w:sz w:val="24"/>
                <w:szCs w:val="24"/>
              </w:rPr>
              <w:t xml:space="preserve">. </w:t>
            </w:r>
            <w:r w:rsidR="00CB55E6">
              <w:rPr>
                <w:sz w:val="24"/>
                <w:szCs w:val="24"/>
              </w:rPr>
              <w:t xml:space="preserve"> </w:t>
            </w:r>
          </w:p>
          <w:p w14:paraId="3B279752" w14:textId="630E9CCB" w:rsidR="008B2A3C" w:rsidRDefault="00727590" w:rsidP="00F020EC">
            <w:pPr>
              <w:ind w:leftChars="6" w:left="13"/>
              <w:rPr>
                <w:sz w:val="24"/>
                <w:szCs w:val="24"/>
              </w:rPr>
            </w:pPr>
            <w:r>
              <w:rPr>
                <w:sz w:val="24"/>
                <w:szCs w:val="24"/>
              </w:rPr>
              <w:t>Meanwhil</w:t>
            </w:r>
            <w:r w:rsidR="001C724C">
              <w:rPr>
                <w:sz w:val="24"/>
                <w:szCs w:val="24"/>
              </w:rPr>
              <w:t xml:space="preserve">e, there </w:t>
            </w:r>
            <w:r w:rsidR="00CB55E6">
              <w:rPr>
                <w:sz w:val="24"/>
                <w:szCs w:val="24"/>
              </w:rPr>
              <w:t xml:space="preserve">is </w:t>
            </w:r>
            <w:r>
              <w:rPr>
                <w:sz w:val="24"/>
                <w:szCs w:val="24"/>
              </w:rPr>
              <w:t xml:space="preserve">uncertainty as to the </w:t>
            </w:r>
            <w:r w:rsidR="001C724C">
              <w:rPr>
                <w:sz w:val="24"/>
                <w:szCs w:val="24"/>
              </w:rPr>
              <w:t xml:space="preserve">future of </w:t>
            </w:r>
            <w:r w:rsidR="009C69BC">
              <w:rPr>
                <w:sz w:val="24"/>
                <w:szCs w:val="24"/>
              </w:rPr>
              <w:t>EONIA</w:t>
            </w:r>
            <w:r w:rsidR="001C724C">
              <w:rPr>
                <w:sz w:val="24"/>
                <w:szCs w:val="24"/>
              </w:rPr>
              <w:t xml:space="preserve"> and Euribor, and whether they will meet the requirements of the EU Benchmark Regulation</w:t>
            </w:r>
            <w:r w:rsidR="00402ACF">
              <w:rPr>
                <w:sz w:val="24"/>
                <w:szCs w:val="24"/>
              </w:rPr>
              <w:t xml:space="preserve"> by</w:t>
            </w:r>
            <w:r w:rsidR="001C724C">
              <w:rPr>
                <w:sz w:val="24"/>
                <w:szCs w:val="24"/>
              </w:rPr>
              <w:t xml:space="preserve"> 1 January 2020</w:t>
            </w:r>
            <w:r w:rsidR="00402ACF">
              <w:rPr>
                <w:sz w:val="24"/>
                <w:szCs w:val="24"/>
              </w:rPr>
              <w:t xml:space="preserve">, which is the current </w:t>
            </w:r>
            <w:r w:rsidR="00402ACF" w:rsidRPr="008C66D8">
              <w:rPr>
                <w:sz w:val="24"/>
                <w:szCs w:val="24"/>
              </w:rPr>
              <w:t>transition period within which critical benchmark providers would have to comply with the Regulation</w:t>
            </w:r>
            <w:r w:rsidR="001C724C">
              <w:rPr>
                <w:sz w:val="24"/>
                <w:szCs w:val="24"/>
              </w:rPr>
              <w:t xml:space="preserve">.  </w:t>
            </w:r>
            <w:r w:rsidR="00F6015F">
              <w:rPr>
                <w:sz w:val="24"/>
                <w:szCs w:val="24"/>
              </w:rPr>
              <w:t>EONIA is currently not compliant with the Regulation</w:t>
            </w:r>
            <w:r w:rsidR="00402ACF">
              <w:rPr>
                <w:sz w:val="24"/>
                <w:szCs w:val="24"/>
              </w:rPr>
              <w:t xml:space="preserve"> and </w:t>
            </w:r>
            <w:r w:rsidR="00F6015F">
              <w:rPr>
                <w:sz w:val="24"/>
                <w:szCs w:val="24"/>
              </w:rPr>
              <w:t>earlier this year its</w:t>
            </w:r>
            <w:r w:rsidR="009C69BC">
              <w:rPr>
                <w:sz w:val="24"/>
                <w:szCs w:val="24"/>
              </w:rPr>
              <w:t xml:space="preserve"> administrato</w:t>
            </w:r>
            <w:r w:rsidR="00F6015F">
              <w:rPr>
                <w:sz w:val="24"/>
                <w:szCs w:val="24"/>
              </w:rPr>
              <w:t>r</w:t>
            </w:r>
            <w:r w:rsidR="009C69BC" w:rsidRPr="008C66D8">
              <w:rPr>
                <w:sz w:val="24"/>
                <w:szCs w:val="24"/>
              </w:rPr>
              <w:t xml:space="preserve"> stopped</w:t>
            </w:r>
            <w:r w:rsidR="00F6015F" w:rsidRPr="008C66D8">
              <w:rPr>
                <w:sz w:val="24"/>
                <w:szCs w:val="24"/>
              </w:rPr>
              <w:t xml:space="preserve"> </w:t>
            </w:r>
            <w:r w:rsidR="009C69BC" w:rsidRPr="008C66D8">
              <w:rPr>
                <w:sz w:val="24"/>
                <w:szCs w:val="24"/>
              </w:rPr>
              <w:t>efforts to</w:t>
            </w:r>
            <w:r w:rsidR="00F6015F" w:rsidRPr="008C66D8">
              <w:rPr>
                <w:sz w:val="24"/>
                <w:szCs w:val="24"/>
              </w:rPr>
              <w:t xml:space="preserve"> reform</w:t>
            </w:r>
            <w:r w:rsidR="009C69BC" w:rsidRPr="008C66D8">
              <w:rPr>
                <w:sz w:val="24"/>
                <w:szCs w:val="24"/>
              </w:rPr>
              <w:t xml:space="preserve"> its me</w:t>
            </w:r>
            <w:r w:rsidR="00F6015F" w:rsidRPr="008C66D8">
              <w:rPr>
                <w:sz w:val="24"/>
                <w:szCs w:val="24"/>
              </w:rPr>
              <w:t>thodology so that in</w:t>
            </w:r>
            <w:r w:rsidR="009C69BC" w:rsidRPr="008C66D8">
              <w:rPr>
                <w:sz w:val="24"/>
                <w:szCs w:val="24"/>
              </w:rPr>
              <w:t xml:space="preserve"> it</w:t>
            </w:r>
            <w:r w:rsidR="00F6015F" w:rsidRPr="008C66D8">
              <w:rPr>
                <w:sz w:val="24"/>
                <w:szCs w:val="24"/>
              </w:rPr>
              <w:t>s</w:t>
            </w:r>
            <w:r w:rsidR="009C69BC" w:rsidRPr="008C66D8">
              <w:rPr>
                <w:sz w:val="24"/>
                <w:szCs w:val="24"/>
              </w:rPr>
              <w:t xml:space="preserve"> current state as of </w:t>
            </w:r>
            <w:r w:rsidR="00F6015F" w:rsidRPr="008C66D8">
              <w:rPr>
                <w:sz w:val="24"/>
                <w:szCs w:val="24"/>
              </w:rPr>
              <w:t xml:space="preserve">1.1. </w:t>
            </w:r>
            <w:r w:rsidR="009C69BC" w:rsidRPr="008C66D8">
              <w:rPr>
                <w:sz w:val="24"/>
                <w:szCs w:val="24"/>
              </w:rPr>
              <w:t xml:space="preserve">2020 </w:t>
            </w:r>
            <w:r w:rsidR="00F6015F" w:rsidRPr="008C66D8">
              <w:rPr>
                <w:sz w:val="24"/>
                <w:szCs w:val="24"/>
              </w:rPr>
              <w:t xml:space="preserve">the </w:t>
            </w:r>
            <w:r w:rsidR="009C69BC" w:rsidRPr="008C66D8">
              <w:rPr>
                <w:sz w:val="24"/>
                <w:szCs w:val="24"/>
              </w:rPr>
              <w:t>R</w:t>
            </w:r>
            <w:r w:rsidR="00F6015F" w:rsidRPr="008C66D8">
              <w:rPr>
                <w:sz w:val="24"/>
                <w:szCs w:val="24"/>
              </w:rPr>
              <w:t>egulation</w:t>
            </w:r>
            <w:r w:rsidR="009C69BC" w:rsidRPr="008C66D8">
              <w:rPr>
                <w:sz w:val="24"/>
                <w:szCs w:val="24"/>
              </w:rPr>
              <w:t xml:space="preserve"> would prohibit EONIA from being used in new contracts and it is uncertain if it would </w:t>
            </w:r>
            <w:r w:rsidR="00F020EC" w:rsidRPr="008C66D8">
              <w:rPr>
                <w:sz w:val="24"/>
                <w:szCs w:val="24"/>
              </w:rPr>
              <w:t xml:space="preserve">even </w:t>
            </w:r>
            <w:r w:rsidR="009C69BC" w:rsidRPr="008C66D8">
              <w:rPr>
                <w:sz w:val="24"/>
                <w:szCs w:val="24"/>
              </w:rPr>
              <w:t xml:space="preserve">be allowed to be used for legacy contracts. </w:t>
            </w:r>
            <w:r w:rsidR="00F6015F" w:rsidRPr="008C66D8">
              <w:rPr>
                <w:sz w:val="24"/>
                <w:szCs w:val="24"/>
              </w:rPr>
              <w:t xml:space="preserve">As regards Euribor, efforts to reform it are continuing with the administrator expected to </w:t>
            </w:r>
            <w:r w:rsidR="00597D27">
              <w:rPr>
                <w:sz w:val="24"/>
                <w:szCs w:val="24"/>
              </w:rPr>
              <w:t xml:space="preserve">adopt reformed methodology and </w:t>
            </w:r>
            <w:r w:rsidR="00F6015F" w:rsidRPr="008C66D8">
              <w:rPr>
                <w:sz w:val="24"/>
                <w:szCs w:val="24"/>
              </w:rPr>
              <w:t xml:space="preserve">apply for authorisation to the Belgian regulator </w:t>
            </w:r>
            <w:r w:rsidR="00597D27">
              <w:rPr>
                <w:sz w:val="24"/>
                <w:szCs w:val="24"/>
              </w:rPr>
              <w:t>in</w:t>
            </w:r>
            <w:r w:rsidR="00F6015F" w:rsidRPr="008C66D8">
              <w:rPr>
                <w:sz w:val="24"/>
                <w:szCs w:val="24"/>
              </w:rPr>
              <w:t xml:space="preserve"> </w:t>
            </w:r>
            <w:r w:rsidR="00597D27">
              <w:rPr>
                <w:sz w:val="24"/>
                <w:szCs w:val="24"/>
              </w:rPr>
              <w:t>2</w:t>
            </w:r>
            <w:r w:rsidR="00F6015F" w:rsidRPr="008C66D8">
              <w:rPr>
                <w:sz w:val="24"/>
                <w:szCs w:val="24"/>
              </w:rPr>
              <w:t xml:space="preserve"> Q 201</w:t>
            </w:r>
            <w:r w:rsidR="00402ACF" w:rsidRPr="008C66D8">
              <w:rPr>
                <w:sz w:val="24"/>
                <w:szCs w:val="24"/>
              </w:rPr>
              <w:t>9</w:t>
            </w:r>
            <w:r w:rsidR="00F6015F" w:rsidRPr="008C66D8">
              <w:rPr>
                <w:sz w:val="24"/>
                <w:szCs w:val="24"/>
              </w:rPr>
              <w:t>.</w:t>
            </w:r>
            <w:r w:rsidR="00F6015F">
              <w:rPr>
                <w:sz w:val="24"/>
                <w:szCs w:val="24"/>
              </w:rPr>
              <w:t xml:space="preserve"> </w:t>
            </w:r>
          </w:p>
          <w:p w14:paraId="1E4D6D45" w14:textId="1AA1218F" w:rsidR="00402ACF" w:rsidRPr="00DF71A7" w:rsidRDefault="00402ACF" w:rsidP="00DF71A7">
            <w:pPr>
              <w:rPr>
                <w:sz w:val="24"/>
                <w:szCs w:val="24"/>
              </w:rPr>
            </w:pPr>
            <w:r>
              <w:rPr>
                <w:sz w:val="24"/>
                <w:szCs w:val="24"/>
              </w:rPr>
              <w:t>Against this background</w:t>
            </w:r>
            <w:r w:rsidR="00F6015F">
              <w:rPr>
                <w:sz w:val="24"/>
                <w:szCs w:val="24"/>
              </w:rPr>
              <w:t>, t</w:t>
            </w:r>
            <w:r w:rsidR="001C724C">
              <w:rPr>
                <w:sz w:val="24"/>
                <w:szCs w:val="24"/>
              </w:rPr>
              <w:t>he</w:t>
            </w:r>
            <w:r w:rsidR="00F020EC">
              <w:rPr>
                <w:sz w:val="24"/>
                <w:szCs w:val="24"/>
              </w:rPr>
              <w:t xml:space="preserve"> Working group has </w:t>
            </w:r>
            <w:r w:rsidR="009C69BC">
              <w:rPr>
                <w:sz w:val="24"/>
                <w:szCs w:val="24"/>
              </w:rPr>
              <w:t>re</w:t>
            </w:r>
            <w:r w:rsidR="008B2A3C">
              <w:rPr>
                <w:sz w:val="24"/>
                <w:szCs w:val="24"/>
              </w:rPr>
              <w:t>quest</w:t>
            </w:r>
            <w:r w:rsidR="009C69BC">
              <w:rPr>
                <w:sz w:val="24"/>
                <w:szCs w:val="24"/>
              </w:rPr>
              <w:t>e</w:t>
            </w:r>
            <w:r w:rsidR="00F6015F">
              <w:rPr>
                <w:sz w:val="24"/>
                <w:szCs w:val="24"/>
              </w:rPr>
              <w:t>d</w:t>
            </w:r>
            <w:r w:rsidR="009C69BC">
              <w:rPr>
                <w:sz w:val="24"/>
                <w:szCs w:val="24"/>
              </w:rPr>
              <w:t xml:space="preserve"> </w:t>
            </w:r>
            <w:r w:rsidRPr="00DF71A7">
              <w:rPr>
                <w:sz w:val="24"/>
                <w:szCs w:val="24"/>
              </w:rPr>
              <w:t xml:space="preserve">to extend the transition period </w:t>
            </w:r>
            <w:r w:rsidR="00CB55E6" w:rsidRPr="00DF71A7">
              <w:rPr>
                <w:sz w:val="24"/>
                <w:szCs w:val="24"/>
              </w:rPr>
              <w:t xml:space="preserve">for </w:t>
            </w:r>
            <w:r w:rsidR="00CB55E6" w:rsidRPr="00DF71A7">
              <w:rPr>
                <w:sz w:val="24"/>
                <w:szCs w:val="24"/>
              </w:rPr>
              <w:lastRenderedPageBreak/>
              <w:t xml:space="preserve">all critical benchmarks </w:t>
            </w:r>
            <w:r w:rsidRPr="00DF71A7">
              <w:rPr>
                <w:sz w:val="24"/>
                <w:szCs w:val="24"/>
              </w:rPr>
              <w:t xml:space="preserve">from the current 1 January 2020 to 31 December 2021, The Council and the European Parliament are currently discussing a number of proposals </w:t>
            </w:r>
            <w:r w:rsidR="00D61205" w:rsidRPr="00DF71A7">
              <w:rPr>
                <w:sz w:val="24"/>
                <w:szCs w:val="24"/>
              </w:rPr>
              <w:t>regarding such extension. A compromise text is not however likely to be agreed until the 1 Q 2019</w:t>
            </w:r>
            <w:r w:rsidR="00CB55E6" w:rsidRPr="00DF71A7">
              <w:rPr>
                <w:sz w:val="24"/>
                <w:szCs w:val="24"/>
              </w:rPr>
              <w:t>.</w:t>
            </w:r>
          </w:p>
          <w:p w14:paraId="50E4D32E" w14:textId="3F451E6C" w:rsidR="00CB55E6" w:rsidRPr="006B098A" w:rsidRDefault="00CB55E6" w:rsidP="00DF71A7">
            <w:pPr>
              <w:rPr>
                <w:sz w:val="24"/>
                <w:szCs w:val="24"/>
              </w:rPr>
            </w:pPr>
            <w:r w:rsidRPr="00DF71A7">
              <w:rPr>
                <w:sz w:val="24"/>
                <w:szCs w:val="24"/>
              </w:rPr>
              <w:t xml:space="preserve">Having recommended ESTER as its preferred rate, the </w:t>
            </w:r>
            <w:r w:rsidR="00307E5B" w:rsidRPr="00DF71A7">
              <w:rPr>
                <w:sz w:val="24"/>
                <w:szCs w:val="24"/>
              </w:rPr>
              <w:t xml:space="preserve">next </w:t>
            </w:r>
            <w:r w:rsidR="0013661F">
              <w:rPr>
                <w:sz w:val="24"/>
                <w:szCs w:val="24"/>
              </w:rPr>
              <w:t xml:space="preserve">main </w:t>
            </w:r>
            <w:r w:rsidR="00307E5B" w:rsidRPr="00DF71A7">
              <w:rPr>
                <w:sz w:val="24"/>
                <w:szCs w:val="24"/>
              </w:rPr>
              <w:t xml:space="preserve">task of the </w:t>
            </w:r>
            <w:r>
              <w:rPr>
                <w:sz w:val="24"/>
                <w:szCs w:val="24"/>
              </w:rPr>
              <w:t xml:space="preserve">Working group </w:t>
            </w:r>
            <w:r w:rsidR="00307E5B">
              <w:rPr>
                <w:sz w:val="24"/>
                <w:szCs w:val="24"/>
              </w:rPr>
              <w:t xml:space="preserve">is to </w:t>
            </w:r>
            <w:r>
              <w:rPr>
                <w:sz w:val="24"/>
                <w:szCs w:val="24"/>
              </w:rPr>
              <w:t>elaborat</w:t>
            </w:r>
            <w:r w:rsidR="00307E5B">
              <w:rPr>
                <w:sz w:val="24"/>
                <w:szCs w:val="24"/>
              </w:rPr>
              <w:t>e</w:t>
            </w:r>
            <w:r>
              <w:rPr>
                <w:sz w:val="24"/>
                <w:szCs w:val="24"/>
              </w:rPr>
              <w:t xml:space="preserve"> feasible paths for</w:t>
            </w:r>
            <w:r w:rsidR="0013661F">
              <w:rPr>
                <w:sz w:val="24"/>
                <w:szCs w:val="24"/>
              </w:rPr>
              <w:t xml:space="preserve"> the industry to be able to</w:t>
            </w:r>
            <w:r>
              <w:rPr>
                <w:sz w:val="24"/>
                <w:szCs w:val="24"/>
              </w:rPr>
              <w:t xml:space="preserve"> </w:t>
            </w:r>
            <w:r w:rsidR="0013661F">
              <w:rPr>
                <w:sz w:val="24"/>
                <w:szCs w:val="24"/>
              </w:rPr>
              <w:t xml:space="preserve">smoothly </w:t>
            </w:r>
            <w:r>
              <w:rPr>
                <w:sz w:val="24"/>
                <w:szCs w:val="24"/>
              </w:rPr>
              <w:t xml:space="preserve">transition from EONIA to the new rate. </w:t>
            </w:r>
          </w:p>
        </w:tc>
      </w:tr>
      <w:tr w:rsidR="00263651" w:rsidRPr="006B098A" w14:paraId="3645022C" w14:textId="77777777" w:rsidTr="00263651">
        <w:tc>
          <w:tcPr>
            <w:tcW w:w="817" w:type="dxa"/>
          </w:tcPr>
          <w:p w14:paraId="32639B5B" w14:textId="1B65A27F" w:rsidR="00263651" w:rsidRPr="00034024" w:rsidRDefault="00263651" w:rsidP="00034024">
            <w:pPr>
              <w:widowControl w:val="0"/>
              <w:spacing w:after="0" w:line="240" w:lineRule="auto"/>
              <w:ind w:leftChars="-64" w:left="13" w:hangingChars="64" w:hanging="154"/>
              <w:jc w:val="center"/>
              <w:rPr>
                <w:sz w:val="24"/>
                <w:szCs w:val="24"/>
              </w:rPr>
            </w:pPr>
            <w:r w:rsidRPr="00034024">
              <w:rPr>
                <w:sz w:val="24"/>
                <w:szCs w:val="24"/>
              </w:rPr>
              <w:lastRenderedPageBreak/>
              <w:t>b.</w:t>
            </w:r>
          </w:p>
        </w:tc>
        <w:tc>
          <w:tcPr>
            <w:tcW w:w="4285" w:type="dxa"/>
          </w:tcPr>
          <w:p w14:paraId="6E3C7A3D" w14:textId="4383CD31" w:rsidR="00263651" w:rsidRPr="00034024" w:rsidRDefault="00263651" w:rsidP="000B1BA7">
            <w:pPr>
              <w:widowControl w:val="0"/>
              <w:spacing w:after="0" w:line="240" w:lineRule="auto"/>
              <w:ind w:leftChars="6" w:left="13" w:rightChars="159" w:right="350"/>
              <w:rPr>
                <w:sz w:val="24"/>
                <w:szCs w:val="24"/>
              </w:rPr>
            </w:pPr>
            <w:r w:rsidRPr="00034024">
              <w:rPr>
                <w:sz w:val="24"/>
                <w:szCs w:val="24"/>
              </w:rPr>
              <w:t xml:space="preserve">EU Blocking Statute (sanctions of third countries with an impact on EU economic agents) </w:t>
            </w:r>
          </w:p>
          <w:p w14:paraId="276F7F80" w14:textId="77777777" w:rsidR="00263651" w:rsidRPr="00034024" w:rsidRDefault="00263651" w:rsidP="000B1BA7">
            <w:pPr>
              <w:pStyle w:val="ListParagraph"/>
              <w:widowControl w:val="0"/>
              <w:spacing w:after="0" w:line="240" w:lineRule="auto"/>
              <w:ind w:leftChars="6" w:left="13" w:rightChars="159" w:right="350"/>
              <w:contextualSpacing w:val="0"/>
              <w:rPr>
                <w:rFonts w:ascii="Times New Roman" w:hAnsi="Times New Roman"/>
                <w:szCs w:val="24"/>
                <w:lang w:val="en-GB"/>
              </w:rPr>
            </w:pPr>
          </w:p>
          <w:p w14:paraId="001EAC3B" w14:textId="5D49AB46" w:rsidR="00263651" w:rsidRPr="00034024" w:rsidRDefault="00263651" w:rsidP="000B1BA7">
            <w:pPr>
              <w:pStyle w:val="ListParagraph"/>
              <w:widowControl w:val="0"/>
              <w:spacing w:after="0" w:line="240" w:lineRule="auto"/>
              <w:ind w:leftChars="6" w:left="13" w:rightChars="159" w:right="350"/>
              <w:contextualSpacing w:val="0"/>
              <w:rPr>
                <w:rFonts w:ascii="Times New Roman" w:hAnsi="Times New Roman"/>
                <w:szCs w:val="24"/>
                <w:lang w:val="en-GB"/>
              </w:rPr>
            </w:pPr>
          </w:p>
        </w:tc>
        <w:tc>
          <w:tcPr>
            <w:tcW w:w="9400" w:type="dxa"/>
          </w:tcPr>
          <w:p w14:paraId="33C20BA2" w14:textId="472AAC97" w:rsidR="00263651" w:rsidRPr="005050DD" w:rsidRDefault="005050DD" w:rsidP="00792624">
            <w:pPr>
              <w:ind w:leftChars="6" w:left="13"/>
              <w:rPr>
                <w:sz w:val="24"/>
                <w:szCs w:val="24"/>
                <w:lang w:val="en"/>
              </w:rPr>
            </w:pPr>
            <w:r w:rsidRPr="005050DD">
              <w:rPr>
                <w:sz w:val="24"/>
                <w:szCs w:val="24"/>
              </w:rPr>
              <w:t xml:space="preserve">On 7 August 2018, </w:t>
            </w:r>
            <w:r w:rsidRPr="005050DD">
              <w:rPr>
                <w:sz w:val="24"/>
                <w:szCs w:val="24"/>
                <w:lang w:val="en"/>
              </w:rPr>
              <w:t xml:space="preserve">the </w:t>
            </w:r>
            <w:hyperlink r:id="rId13" w:history="1">
              <w:r w:rsidRPr="005050DD">
                <w:rPr>
                  <w:rStyle w:val="Hyperlink"/>
                  <w:sz w:val="24"/>
                  <w:szCs w:val="24"/>
                  <w:lang w:val="en"/>
                </w:rPr>
                <w:t>EU Blocking Statute</w:t>
              </w:r>
            </w:hyperlink>
            <w:r w:rsidRPr="005050DD">
              <w:rPr>
                <w:sz w:val="24"/>
                <w:szCs w:val="24"/>
                <w:lang w:val="en"/>
              </w:rPr>
              <w:t xml:space="preserve"> was updated to include in its scope the sanctions which the US is gradually re-imposing on Iran,</w:t>
            </w:r>
            <w:r w:rsidRPr="005050DD">
              <w:rPr>
                <w:sz w:val="24"/>
                <w:szCs w:val="24"/>
              </w:rPr>
              <w:t xml:space="preserve"> following the US decision of 8 May 2018 to exit the “</w:t>
            </w:r>
            <w:r w:rsidRPr="005050DD">
              <w:rPr>
                <w:sz w:val="24"/>
                <w:szCs w:val="24"/>
                <w:lang w:val="en"/>
              </w:rPr>
              <w:t xml:space="preserve">Iran nuclear deal”. The Blocking Statute protects EU </w:t>
            </w:r>
            <w:r w:rsidRPr="005050DD">
              <w:rPr>
                <w:sz w:val="24"/>
                <w:szCs w:val="24"/>
              </w:rPr>
              <w:t>natural and legal persons</w:t>
            </w:r>
            <w:r w:rsidRPr="005050DD">
              <w:rPr>
                <w:sz w:val="24"/>
                <w:szCs w:val="24"/>
                <w:lang w:val="en"/>
              </w:rPr>
              <w:t xml:space="preserve"> conducting legitimate business in Iran by (i) </w:t>
            </w:r>
            <w:r w:rsidRPr="005050DD">
              <w:rPr>
                <w:sz w:val="24"/>
                <w:szCs w:val="24"/>
              </w:rPr>
              <w:t>counteracting the effect in the EU of any foreign court rulings based on US sanctions legislation, and (ii)</w:t>
            </w:r>
            <w:r w:rsidRPr="005050DD">
              <w:rPr>
                <w:sz w:val="24"/>
                <w:szCs w:val="24"/>
                <w:lang w:val="en"/>
              </w:rPr>
              <w:t xml:space="preserve"> allowing EU “operators” to recover damages arising </w:t>
            </w:r>
            <w:r w:rsidRPr="005050DD">
              <w:rPr>
                <w:sz w:val="24"/>
                <w:szCs w:val="24"/>
              </w:rPr>
              <w:t>from such legislation from the persons or entities causing them</w:t>
            </w:r>
            <w:r w:rsidRPr="005050DD">
              <w:rPr>
                <w:sz w:val="24"/>
                <w:szCs w:val="24"/>
                <w:lang w:val="en"/>
              </w:rPr>
              <w:t>. It also forbids EU “operators” from complying with those sanctions, unless exceptionally authorised to do so by the Commission.</w:t>
            </w:r>
          </w:p>
        </w:tc>
      </w:tr>
      <w:tr w:rsidR="00263651" w:rsidRPr="006B098A" w14:paraId="652CD5A7" w14:textId="77777777" w:rsidTr="00263651">
        <w:tc>
          <w:tcPr>
            <w:tcW w:w="817" w:type="dxa"/>
          </w:tcPr>
          <w:p w14:paraId="1F5039F2" w14:textId="46F91850" w:rsidR="00263651" w:rsidRPr="00034024" w:rsidRDefault="00263651" w:rsidP="00034024">
            <w:pPr>
              <w:widowControl w:val="0"/>
              <w:spacing w:after="0" w:line="240" w:lineRule="auto"/>
              <w:ind w:leftChars="-64" w:left="13" w:hangingChars="64" w:hanging="154"/>
              <w:jc w:val="center"/>
              <w:rPr>
                <w:sz w:val="24"/>
                <w:szCs w:val="24"/>
              </w:rPr>
            </w:pPr>
            <w:r w:rsidRPr="00034024">
              <w:rPr>
                <w:sz w:val="24"/>
                <w:szCs w:val="24"/>
              </w:rPr>
              <w:t>c.</w:t>
            </w:r>
          </w:p>
        </w:tc>
        <w:tc>
          <w:tcPr>
            <w:tcW w:w="4285" w:type="dxa"/>
          </w:tcPr>
          <w:p w14:paraId="7FBF8C0F" w14:textId="324BC1A2" w:rsidR="00263651" w:rsidRPr="00034024" w:rsidRDefault="00263651" w:rsidP="000B1BA7">
            <w:pPr>
              <w:widowControl w:val="0"/>
              <w:spacing w:after="0" w:line="240" w:lineRule="auto"/>
              <w:ind w:leftChars="6" w:left="13" w:rightChars="159" w:right="350"/>
              <w:rPr>
                <w:sz w:val="24"/>
                <w:szCs w:val="24"/>
              </w:rPr>
            </w:pPr>
            <w:r w:rsidRPr="00034024">
              <w:rPr>
                <w:sz w:val="24"/>
                <w:szCs w:val="24"/>
              </w:rPr>
              <w:t>European Deposit Insurance Scheme (EDIS). State of Play</w:t>
            </w:r>
          </w:p>
          <w:p w14:paraId="726D13DB" w14:textId="77777777" w:rsidR="00263651" w:rsidRPr="00034024" w:rsidRDefault="00263651" w:rsidP="000B1BA7">
            <w:pPr>
              <w:pStyle w:val="ListParagraph"/>
              <w:widowControl w:val="0"/>
              <w:spacing w:after="0" w:line="240" w:lineRule="auto"/>
              <w:ind w:leftChars="6" w:left="13" w:rightChars="159" w:right="350"/>
              <w:contextualSpacing w:val="0"/>
              <w:rPr>
                <w:rFonts w:ascii="Times New Roman" w:hAnsi="Times New Roman"/>
                <w:szCs w:val="24"/>
                <w:lang w:val="en-GB"/>
              </w:rPr>
            </w:pPr>
          </w:p>
          <w:p w14:paraId="7B7B0A4B" w14:textId="77777777" w:rsidR="00263651" w:rsidRPr="00034024" w:rsidRDefault="00263651" w:rsidP="000B1BA7">
            <w:pPr>
              <w:pStyle w:val="ListParagraph"/>
              <w:widowControl w:val="0"/>
              <w:spacing w:after="0" w:line="240" w:lineRule="auto"/>
              <w:ind w:leftChars="6" w:left="13" w:rightChars="159" w:right="350"/>
              <w:contextualSpacing w:val="0"/>
              <w:rPr>
                <w:rFonts w:ascii="Times New Roman" w:hAnsi="Times New Roman"/>
                <w:szCs w:val="24"/>
                <w:lang w:val="en-GB"/>
              </w:rPr>
            </w:pPr>
          </w:p>
          <w:p w14:paraId="5E580A18" w14:textId="71CA7A37" w:rsidR="00263651" w:rsidRPr="00034024" w:rsidRDefault="00263651" w:rsidP="000B1BA7">
            <w:pPr>
              <w:pStyle w:val="ListParagraph"/>
              <w:widowControl w:val="0"/>
              <w:spacing w:after="0" w:line="240" w:lineRule="auto"/>
              <w:ind w:leftChars="6" w:left="13" w:rightChars="159" w:right="350"/>
              <w:contextualSpacing w:val="0"/>
              <w:rPr>
                <w:rFonts w:ascii="Times New Roman" w:hAnsi="Times New Roman"/>
                <w:szCs w:val="24"/>
                <w:lang w:val="en-GB"/>
              </w:rPr>
            </w:pPr>
          </w:p>
        </w:tc>
        <w:tc>
          <w:tcPr>
            <w:tcW w:w="9400" w:type="dxa"/>
          </w:tcPr>
          <w:p w14:paraId="6AD414BF" w14:textId="2EA8AF34" w:rsidR="00263651" w:rsidRPr="005050DD" w:rsidRDefault="005050DD" w:rsidP="00423999">
            <w:pPr>
              <w:ind w:leftChars="6" w:left="13"/>
              <w:rPr>
                <w:sz w:val="24"/>
                <w:szCs w:val="24"/>
              </w:rPr>
            </w:pPr>
            <w:r w:rsidRPr="005050DD">
              <w:rPr>
                <w:sz w:val="24"/>
                <w:szCs w:val="24"/>
              </w:rPr>
              <w:t>On 2</w:t>
            </w:r>
            <w:r w:rsidR="00792624">
              <w:rPr>
                <w:sz w:val="24"/>
                <w:szCs w:val="24"/>
              </w:rPr>
              <w:t xml:space="preserve">9 </w:t>
            </w:r>
            <w:r w:rsidRPr="005050DD">
              <w:rPr>
                <w:sz w:val="24"/>
                <w:szCs w:val="24"/>
              </w:rPr>
              <w:t xml:space="preserve">June 2018, the </w:t>
            </w:r>
            <w:r w:rsidR="00792624">
              <w:rPr>
                <w:sz w:val="24"/>
                <w:szCs w:val="24"/>
              </w:rPr>
              <w:t>Euro Summit (Heads of St</w:t>
            </w:r>
            <w:r w:rsidR="00423999">
              <w:rPr>
                <w:sz w:val="24"/>
                <w:szCs w:val="24"/>
              </w:rPr>
              <w:t xml:space="preserve">ate or Government) </w:t>
            </w:r>
            <w:r w:rsidRPr="005050DD">
              <w:rPr>
                <w:sz w:val="24"/>
                <w:szCs w:val="24"/>
              </w:rPr>
              <w:t xml:space="preserve"> </w:t>
            </w:r>
            <w:r w:rsidR="00792624">
              <w:rPr>
                <w:sz w:val="24"/>
                <w:szCs w:val="24"/>
              </w:rPr>
              <w:t xml:space="preserve">pushed for </w:t>
            </w:r>
            <w:r w:rsidRPr="005050DD">
              <w:rPr>
                <w:sz w:val="24"/>
                <w:szCs w:val="24"/>
              </w:rPr>
              <w:t xml:space="preserve">political negotiations on EDIS (original Commission </w:t>
            </w:r>
            <w:hyperlink r:id="rId14" w:history="1">
              <w:r w:rsidRPr="005050DD">
                <w:rPr>
                  <w:rStyle w:val="Hyperlink"/>
                  <w:sz w:val="24"/>
                  <w:szCs w:val="24"/>
                </w:rPr>
                <w:t>proposal</w:t>
              </w:r>
            </w:hyperlink>
            <w:r w:rsidRPr="005050DD">
              <w:rPr>
                <w:sz w:val="24"/>
                <w:szCs w:val="24"/>
              </w:rPr>
              <w:t xml:space="preserve"> of 24 November 2015, as </w:t>
            </w:r>
            <w:hyperlink r:id="rId15" w:history="1">
              <w:r w:rsidRPr="005050DD">
                <w:rPr>
                  <w:rStyle w:val="Hyperlink"/>
                  <w:sz w:val="24"/>
                  <w:szCs w:val="24"/>
                </w:rPr>
                <w:t>re-addressed</w:t>
              </w:r>
            </w:hyperlink>
            <w:r w:rsidRPr="005050DD">
              <w:rPr>
                <w:sz w:val="24"/>
                <w:szCs w:val="24"/>
              </w:rPr>
              <w:t xml:space="preserve"> on 11 October 2017 to facilitate adoption within 2018) </w:t>
            </w:r>
            <w:r w:rsidR="00792624">
              <w:rPr>
                <w:sz w:val="24"/>
                <w:szCs w:val="24"/>
              </w:rPr>
              <w:t xml:space="preserve">to start after December 2018 since </w:t>
            </w:r>
            <w:r w:rsidRPr="005050DD">
              <w:rPr>
                <w:sz w:val="24"/>
                <w:szCs w:val="24"/>
              </w:rPr>
              <w:t xml:space="preserve"> sufficient progress on ‘risk reduction’ measures</w:t>
            </w:r>
            <w:r w:rsidR="00792624">
              <w:rPr>
                <w:sz w:val="24"/>
                <w:szCs w:val="24"/>
              </w:rPr>
              <w:t xml:space="preserve"> is being achieved</w:t>
            </w:r>
            <w:r w:rsidRPr="005050DD">
              <w:rPr>
                <w:sz w:val="24"/>
                <w:szCs w:val="24"/>
              </w:rPr>
              <w:t xml:space="preserve"> (mainly, </w:t>
            </w:r>
            <w:r w:rsidR="00792624">
              <w:rPr>
                <w:sz w:val="24"/>
                <w:szCs w:val="24"/>
              </w:rPr>
              <w:t>Banking legislation reform (t</w:t>
            </w:r>
            <w:r w:rsidRPr="005050DD">
              <w:rPr>
                <w:sz w:val="24"/>
                <w:szCs w:val="24"/>
              </w:rPr>
              <w:t>he ‘</w:t>
            </w:r>
            <w:hyperlink r:id="rId16" w:history="1">
              <w:r w:rsidRPr="005050DD">
                <w:rPr>
                  <w:rStyle w:val="Hyperlink"/>
                  <w:sz w:val="24"/>
                  <w:szCs w:val="24"/>
                </w:rPr>
                <w:t>Banking Package</w:t>
              </w:r>
            </w:hyperlink>
            <w:r w:rsidRPr="005050DD">
              <w:rPr>
                <w:sz w:val="24"/>
                <w:szCs w:val="24"/>
              </w:rPr>
              <w:t>’</w:t>
            </w:r>
            <w:r w:rsidR="00792624">
              <w:rPr>
                <w:sz w:val="24"/>
                <w:szCs w:val="24"/>
              </w:rPr>
              <w:t>)</w:t>
            </w:r>
            <w:r w:rsidRPr="005050DD">
              <w:rPr>
                <w:sz w:val="24"/>
                <w:szCs w:val="24"/>
              </w:rPr>
              <w:t xml:space="preserve"> and measures to tackle </w:t>
            </w:r>
            <w:hyperlink r:id="rId17" w:history="1">
              <w:r w:rsidRPr="005050DD">
                <w:rPr>
                  <w:rStyle w:val="Hyperlink"/>
                  <w:sz w:val="24"/>
                  <w:szCs w:val="24"/>
                </w:rPr>
                <w:t>NPLs</w:t>
              </w:r>
            </w:hyperlink>
            <w:r w:rsidRPr="005050DD">
              <w:rPr>
                <w:sz w:val="24"/>
                <w:szCs w:val="24"/>
              </w:rPr>
              <w:t>)</w:t>
            </w:r>
            <w:r w:rsidR="00792624">
              <w:rPr>
                <w:sz w:val="24"/>
                <w:szCs w:val="24"/>
              </w:rPr>
              <w:t xml:space="preserve">. The European Council expects that the </w:t>
            </w:r>
            <w:r w:rsidR="00423999">
              <w:rPr>
                <w:sz w:val="24"/>
                <w:szCs w:val="24"/>
              </w:rPr>
              <w:t>Eurogroup</w:t>
            </w:r>
            <w:r w:rsidRPr="005050DD">
              <w:rPr>
                <w:sz w:val="24"/>
                <w:szCs w:val="24"/>
              </w:rPr>
              <w:t xml:space="preserve"> </w:t>
            </w:r>
            <w:r w:rsidR="00423999">
              <w:rPr>
                <w:sz w:val="24"/>
                <w:szCs w:val="24"/>
              </w:rPr>
              <w:t xml:space="preserve">(Ministers of Finance) which </w:t>
            </w:r>
            <w:r w:rsidRPr="005050DD">
              <w:rPr>
                <w:sz w:val="24"/>
                <w:szCs w:val="24"/>
              </w:rPr>
              <w:t>works only at a technical level on the Commission proposal</w:t>
            </w:r>
            <w:r w:rsidR="00423999">
              <w:rPr>
                <w:sz w:val="24"/>
                <w:szCs w:val="24"/>
              </w:rPr>
              <w:t xml:space="preserve"> prepares documentation allowing for such political negotiations to start. </w:t>
            </w:r>
            <w:r w:rsidRPr="005050DD">
              <w:rPr>
                <w:sz w:val="24"/>
                <w:szCs w:val="24"/>
              </w:rPr>
              <w:t xml:space="preserve">, Commensurately, in the European Parliament, the EDIS proposal is currently </w:t>
            </w:r>
            <w:hyperlink r:id="rId18" w:history="1">
              <w:r w:rsidRPr="005050DD">
                <w:rPr>
                  <w:rStyle w:val="Hyperlink"/>
                  <w:sz w:val="24"/>
                  <w:szCs w:val="24"/>
                </w:rPr>
                <w:t>awaiting</w:t>
              </w:r>
            </w:hyperlink>
            <w:r w:rsidRPr="005050DD">
              <w:rPr>
                <w:sz w:val="24"/>
                <w:szCs w:val="24"/>
              </w:rPr>
              <w:t xml:space="preserve"> a Committee decision.</w:t>
            </w:r>
          </w:p>
        </w:tc>
      </w:tr>
    </w:tbl>
    <w:p w14:paraId="4FB8C21C" w14:textId="77777777" w:rsidR="00785E53" w:rsidRPr="006B098A" w:rsidRDefault="00785E53">
      <w:pPr>
        <w:rPr>
          <w:sz w:val="24"/>
          <w:szCs w:val="24"/>
        </w:rPr>
      </w:pPr>
    </w:p>
    <w:p w14:paraId="3A46D350" w14:textId="77777777" w:rsidR="001B2EEF" w:rsidRPr="006B098A" w:rsidRDefault="001B2EEF">
      <w:pPr>
        <w:rPr>
          <w:sz w:val="24"/>
          <w:szCs w:val="24"/>
        </w:rPr>
      </w:pPr>
    </w:p>
    <w:p w14:paraId="4A256579" w14:textId="77777777" w:rsidR="001B2EEF" w:rsidRPr="006B098A" w:rsidRDefault="001B2EEF">
      <w:pPr>
        <w:rPr>
          <w:sz w:val="24"/>
          <w:szCs w:val="24"/>
        </w:rPr>
      </w:pPr>
    </w:p>
    <w:p w14:paraId="17B2C2C1" w14:textId="77777777" w:rsidR="001B2EEF" w:rsidRPr="006B098A" w:rsidRDefault="001B2EEF">
      <w:pPr>
        <w:rPr>
          <w:sz w:val="24"/>
          <w:szCs w:val="24"/>
        </w:rPr>
      </w:pPr>
    </w:p>
    <w:tbl>
      <w:tblPr>
        <w:tblStyle w:val="TableGrid"/>
        <w:tblW w:w="0" w:type="auto"/>
        <w:tblLook w:val="01E0" w:firstRow="1" w:lastRow="1" w:firstColumn="1" w:lastColumn="1" w:noHBand="0" w:noVBand="0"/>
      </w:tblPr>
      <w:tblGrid>
        <w:gridCol w:w="817"/>
        <w:gridCol w:w="4253"/>
        <w:gridCol w:w="9432"/>
      </w:tblGrid>
      <w:tr w:rsidR="00E852ED" w:rsidRPr="006B098A" w14:paraId="0A7F5618" w14:textId="77777777" w:rsidTr="00E852ED">
        <w:tc>
          <w:tcPr>
            <w:tcW w:w="817" w:type="dxa"/>
          </w:tcPr>
          <w:p w14:paraId="6E3A89EB" w14:textId="3FBE6CB8" w:rsidR="00E852ED" w:rsidRPr="007D580D" w:rsidRDefault="00E852ED" w:rsidP="00E852ED">
            <w:pPr>
              <w:tabs>
                <w:tab w:val="clear" w:pos="851"/>
                <w:tab w:val="clear" w:pos="9356"/>
                <w:tab w:val="left" w:pos="0"/>
                <w:tab w:val="right" w:pos="426"/>
              </w:tabs>
              <w:ind w:left="139"/>
              <w:jc w:val="left"/>
              <w:rPr>
                <w:b/>
                <w:sz w:val="24"/>
                <w:szCs w:val="24"/>
              </w:rPr>
            </w:pPr>
            <w:r w:rsidRPr="007D580D">
              <w:rPr>
                <w:b/>
                <w:sz w:val="24"/>
                <w:szCs w:val="24"/>
              </w:rPr>
              <w:t>2.</w:t>
            </w:r>
          </w:p>
        </w:tc>
        <w:tc>
          <w:tcPr>
            <w:tcW w:w="4253" w:type="dxa"/>
          </w:tcPr>
          <w:p w14:paraId="715C088D" w14:textId="69B56041" w:rsidR="00E852ED" w:rsidRPr="007D580D" w:rsidRDefault="00E852ED" w:rsidP="00E852ED">
            <w:pPr>
              <w:tabs>
                <w:tab w:val="clear" w:pos="851"/>
                <w:tab w:val="clear" w:pos="9356"/>
                <w:tab w:val="left" w:pos="0"/>
                <w:tab w:val="right" w:pos="426"/>
              </w:tabs>
              <w:jc w:val="left"/>
              <w:rPr>
                <w:b/>
                <w:sz w:val="24"/>
                <w:szCs w:val="24"/>
              </w:rPr>
            </w:pPr>
            <w:r w:rsidRPr="007D580D">
              <w:rPr>
                <w:b/>
                <w:sz w:val="24"/>
                <w:szCs w:val="24"/>
              </w:rPr>
              <w:t xml:space="preserve">FLB initiatives </w:t>
            </w:r>
          </w:p>
          <w:p w14:paraId="4247D8F3" w14:textId="77777777" w:rsidR="00E852ED" w:rsidRPr="007D580D" w:rsidRDefault="00E852ED" w:rsidP="008F31B8">
            <w:pPr>
              <w:ind w:left="425"/>
              <w:jc w:val="left"/>
              <w:rPr>
                <w:sz w:val="24"/>
                <w:szCs w:val="24"/>
              </w:rPr>
            </w:pPr>
          </w:p>
        </w:tc>
        <w:tc>
          <w:tcPr>
            <w:tcW w:w="9432" w:type="dxa"/>
          </w:tcPr>
          <w:p w14:paraId="7BFC12B6" w14:textId="66494280" w:rsidR="00E852ED" w:rsidRPr="007D580D" w:rsidRDefault="00E852ED" w:rsidP="008F31B8">
            <w:pPr>
              <w:rPr>
                <w:b/>
                <w:sz w:val="24"/>
                <w:szCs w:val="24"/>
              </w:rPr>
            </w:pPr>
            <w:r w:rsidRPr="007D580D">
              <w:rPr>
                <w:b/>
                <w:sz w:val="24"/>
                <w:szCs w:val="24"/>
              </w:rPr>
              <w:t>Financial Law Board (Bank of Japan)</w:t>
            </w:r>
          </w:p>
          <w:p w14:paraId="0B064485" w14:textId="33F6C2DA" w:rsidR="00E852ED" w:rsidRPr="00792624" w:rsidRDefault="00E852ED" w:rsidP="00CA1139">
            <w:pPr>
              <w:rPr>
                <w:sz w:val="24"/>
                <w:szCs w:val="24"/>
              </w:rPr>
            </w:pPr>
            <w:r w:rsidRPr="007D580D">
              <w:rPr>
                <w:rFonts w:eastAsia="MS Mincho"/>
                <w:sz w:val="24"/>
                <w:szCs w:val="24"/>
                <w:lang w:eastAsia="ja-JP"/>
              </w:rPr>
              <w:t>A</w:t>
            </w:r>
            <w:r w:rsidRPr="007D580D">
              <w:rPr>
                <w:sz w:val="24"/>
                <w:szCs w:val="24"/>
              </w:rPr>
              <w:t>kira</w:t>
            </w:r>
            <w:r w:rsidRPr="007D580D">
              <w:rPr>
                <w:rFonts w:eastAsia="MS Mincho"/>
                <w:sz w:val="24"/>
                <w:szCs w:val="24"/>
                <w:lang w:eastAsia="ja-JP"/>
              </w:rPr>
              <w:t xml:space="preserve"> T</w:t>
            </w:r>
            <w:r w:rsidRPr="007D580D">
              <w:rPr>
                <w:sz w:val="24"/>
                <w:szCs w:val="24"/>
              </w:rPr>
              <w:t xml:space="preserve">suchikawa, Makoto Chiba, </w:t>
            </w:r>
            <w:r w:rsidRPr="007D580D">
              <w:rPr>
                <w:rFonts w:eastAsia="MS Mincho"/>
                <w:sz w:val="24"/>
                <w:szCs w:val="24"/>
                <w:lang w:eastAsia="ja-JP"/>
              </w:rPr>
              <w:t>Kay Kunikane, Kohki Izumi, Shogo Owada</w:t>
            </w:r>
            <w:r w:rsidRPr="00792624">
              <w:rPr>
                <w:sz w:val="24"/>
                <w:szCs w:val="24"/>
              </w:rPr>
              <w:t xml:space="preserve"> </w:t>
            </w:r>
          </w:p>
        </w:tc>
      </w:tr>
      <w:tr w:rsidR="00E852ED" w:rsidRPr="006B098A" w14:paraId="42899849" w14:textId="77777777" w:rsidTr="00E852ED">
        <w:tc>
          <w:tcPr>
            <w:tcW w:w="817" w:type="dxa"/>
          </w:tcPr>
          <w:p w14:paraId="1E448138" w14:textId="1EF72290" w:rsidR="00E852ED" w:rsidRPr="007D580D" w:rsidRDefault="00E852ED" w:rsidP="00E852ED">
            <w:pPr>
              <w:widowControl w:val="0"/>
              <w:spacing w:after="0" w:line="240" w:lineRule="auto"/>
              <w:ind w:left="139"/>
              <w:rPr>
                <w:rFonts w:eastAsia="MS Mincho"/>
                <w:sz w:val="24"/>
                <w:szCs w:val="24"/>
                <w:lang w:eastAsia="ja-JP"/>
              </w:rPr>
            </w:pPr>
            <w:r w:rsidRPr="007D580D">
              <w:rPr>
                <w:rFonts w:eastAsia="MS Mincho"/>
                <w:sz w:val="24"/>
                <w:szCs w:val="24"/>
                <w:lang w:eastAsia="ja-JP"/>
              </w:rPr>
              <w:t>a.</w:t>
            </w:r>
          </w:p>
        </w:tc>
        <w:tc>
          <w:tcPr>
            <w:tcW w:w="4253" w:type="dxa"/>
          </w:tcPr>
          <w:p w14:paraId="2495ECA1" w14:textId="56C9FEE5" w:rsidR="00E852ED" w:rsidRPr="007D580D" w:rsidRDefault="00E852ED" w:rsidP="00311FB6">
            <w:pPr>
              <w:widowControl w:val="0"/>
              <w:spacing w:after="0" w:line="240" w:lineRule="auto"/>
              <w:ind w:left="34" w:rightChars="144" w:right="317"/>
              <w:rPr>
                <w:rFonts w:eastAsia="MS Mincho"/>
                <w:sz w:val="24"/>
                <w:szCs w:val="24"/>
                <w:lang w:eastAsia="ja-JP"/>
              </w:rPr>
            </w:pPr>
            <w:r w:rsidRPr="007D580D">
              <w:rPr>
                <w:rFonts w:eastAsia="MS Mincho"/>
                <w:sz w:val="24"/>
                <w:szCs w:val="24"/>
                <w:lang w:eastAsia="ja-JP"/>
              </w:rPr>
              <w:t>Committee on Japanese Yen Interest Rate Benchmark</w:t>
            </w:r>
          </w:p>
          <w:p w14:paraId="5D9FB4DD" w14:textId="77777777" w:rsidR="00E852ED" w:rsidRPr="007D580D" w:rsidRDefault="00E852ED" w:rsidP="00311FB6">
            <w:pPr>
              <w:spacing w:before="0" w:line="300" w:lineRule="atLeast"/>
              <w:ind w:leftChars="-113" w:left="-249" w:rightChars="144" w:right="317" w:firstLineChars="14" w:firstLine="34"/>
              <w:contextualSpacing/>
              <w:jc w:val="left"/>
              <w:rPr>
                <w:rFonts w:eastAsia="MS Mincho"/>
                <w:sz w:val="24"/>
                <w:szCs w:val="24"/>
                <w:lang w:val="en-US" w:eastAsia="ja-JP"/>
              </w:rPr>
            </w:pPr>
          </w:p>
          <w:p w14:paraId="6AC159AF" w14:textId="1A1FAFA9" w:rsidR="00E852ED" w:rsidRPr="007D580D" w:rsidRDefault="00E852ED" w:rsidP="00311FB6">
            <w:pPr>
              <w:spacing w:before="0" w:line="300" w:lineRule="atLeast"/>
              <w:ind w:leftChars="-113" w:left="-249" w:rightChars="144" w:right="317" w:firstLineChars="14" w:firstLine="34"/>
              <w:contextualSpacing/>
              <w:jc w:val="left"/>
              <w:rPr>
                <w:rFonts w:eastAsia="MS Mincho"/>
                <w:sz w:val="24"/>
                <w:szCs w:val="24"/>
                <w:lang w:val="en-US" w:eastAsia="ja-JP"/>
              </w:rPr>
            </w:pPr>
          </w:p>
        </w:tc>
        <w:tc>
          <w:tcPr>
            <w:tcW w:w="9432" w:type="dxa"/>
          </w:tcPr>
          <w:p w14:paraId="169A8FC1" w14:textId="0F8A3BE6" w:rsidR="00E852ED" w:rsidRPr="007D580D" w:rsidRDefault="00E852ED" w:rsidP="009A3550">
            <w:pPr>
              <w:rPr>
                <w:sz w:val="24"/>
                <w:szCs w:val="24"/>
              </w:rPr>
            </w:pPr>
          </w:p>
        </w:tc>
      </w:tr>
      <w:tr w:rsidR="00E852ED" w:rsidRPr="006B098A" w14:paraId="7E7FDFF5" w14:textId="77777777" w:rsidTr="00E852ED">
        <w:trPr>
          <w:trHeight w:val="630"/>
        </w:trPr>
        <w:tc>
          <w:tcPr>
            <w:tcW w:w="817" w:type="dxa"/>
          </w:tcPr>
          <w:p w14:paraId="29658C8A" w14:textId="09F5AC82" w:rsidR="00E852ED" w:rsidRPr="007D580D" w:rsidRDefault="00E852ED" w:rsidP="00E852ED">
            <w:pPr>
              <w:spacing w:line="300" w:lineRule="atLeast"/>
              <w:ind w:left="139"/>
              <w:rPr>
                <w:sz w:val="24"/>
                <w:szCs w:val="24"/>
              </w:rPr>
            </w:pPr>
            <w:r w:rsidRPr="007D580D">
              <w:rPr>
                <w:sz w:val="24"/>
                <w:szCs w:val="24"/>
              </w:rPr>
              <w:t>b.</w:t>
            </w:r>
          </w:p>
        </w:tc>
        <w:tc>
          <w:tcPr>
            <w:tcW w:w="4253" w:type="dxa"/>
          </w:tcPr>
          <w:p w14:paraId="0F284042" w14:textId="451DF5A5" w:rsidR="00E852ED" w:rsidRPr="007D580D" w:rsidRDefault="00E852ED" w:rsidP="00311FB6">
            <w:pPr>
              <w:spacing w:line="300" w:lineRule="atLeast"/>
              <w:ind w:rightChars="144" w:right="317"/>
              <w:rPr>
                <w:rFonts w:eastAsia="MS Mincho"/>
                <w:sz w:val="24"/>
                <w:szCs w:val="24"/>
                <w:lang w:eastAsia="ja-JP"/>
              </w:rPr>
            </w:pPr>
            <w:r w:rsidRPr="007D580D">
              <w:rPr>
                <w:sz w:val="24"/>
                <w:szCs w:val="24"/>
              </w:rPr>
              <w:t>Interim Note by the Study Group on the Financial System</w:t>
            </w:r>
            <w:r w:rsidRPr="007D580D">
              <w:rPr>
                <w:rFonts w:eastAsia="MS Mincho"/>
                <w:sz w:val="24"/>
                <w:szCs w:val="24"/>
                <w:lang w:eastAsia="ja-JP"/>
              </w:rPr>
              <w:t xml:space="preserve"> </w:t>
            </w:r>
          </w:p>
          <w:p w14:paraId="3FE619E4" w14:textId="77777777" w:rsidR="00E852ED" w:rsidRPr="007D580D" w:rsidRDefault="00E852ED" w:rsidP="00311FB6">
            <w:pPr>
              <w:pStyle w:val="ListParagraph"/>
              <w:spacing w:after="60" w:line="300" w:lineRule="atLeast"/>
              <w:ind w:leftChars="-113" w:left="-249" w:rightChars="144" w:right="317" w:firstLineChars="14" w:firstLine="34"/>
              <w:rPr>
                <w:rFonts w:ascii="Times New Roman" w:eastAsia="MS Mincho" w:hAnsi="Times New Roman"/>
                <w:kern w:val="0"/>
                <w:szCs w:val="24"/>
                <w:lang w:val="en-GB" w:eastAsia="ja-JP"/>
              </w:rPr>
            </w:pPr>
          </w:p>
          <w:p w14:paraId="33A3F2B3" w14:textId="54E5CE4D" w:rsidR="00E852ED" w:rsidRPr="007D580D" w:rsidRDefault="00E852ED" w:rsidP="00311FB6">
            <w:pPr>
              <w:pStyle w:val="ListParagraph"/>
              <w:spacing w:after="60" w:line="300" w:lineRule="atLeast"/>
              <w:ind w:leftChars="-113" w:left="-249" w:rightChars="144" w:right="317" w:firstLineChars="14" w:firstLine="34"/>
              <w:rPr>
                <w:rFonts w:ascii="Times New Roman" w:eastAsia="MS Mincho" w:hAnsi="Times New Roman"/>
                <w:kern w:val="0"/>
                <w:szCs w:val="24"/>
                <w:lang w:val="en-GB" w:eastAsia="ja-JP"/>
              </w:rPr>
            </w:pPr>
          </w:p>
        </w:tc>
        <w:tc>
          <w:tcPr>
            <w:tcW w:w="9432" w:type="dxa"/>
          </w:tcPr>
          <w:p w14:paraId="33A29020" w14:textId="39A99F43" w:rsidR="00E852ED" w:rsidRPr="007D580D" w:rsidRDefault="00E852ED" w:rsidP="009A3550">
            <w:pPr>
              <w:rPr>
                <w:sz w:val="24"/>
                <w:szCs w:val="24"/>
              </w:rPr>
            </w:pPr>
          </w:p>
        </w:tc>
      </w:tr>
    </w:tbl>
    <w:p w14:paraId="74E38CFC" w14:textId="77777777" w:rsidR="0050664D" w:rsidRPr="006B098A" w:rsidRDefault="0050664D" w:rsidP="0050664D">
      <w:pPr>
        <w:rPr>
          <w:sz w:val="24"/>
          <w:szCs w:val="24"/>
        </w:rPr>
      </w:pPr>
    </w:p>
    <w:tbl>
      <w:tblPr>
        <w:tblStyle w:val="TableGrid"/>
        <w:tblW w:w="0" w:type="auto"/>
        <w:tblLook w:val="01E0" w:firstRow="1" w:lastRow="1" w:firstColumn="1" w:lastColumn="1" w:noHBand="0" w:noVBand="0"/>
      </w:tblPr>
      <w:tblGrid>
        <w:gridCol w:w="817"/>
        <w:gridCol w:w="4253"/>
        <w:gridCol w:w="9432"/>
      </w:tblGrid>
      <w:tr w:rsidR="001564D9" w:rsidRPr="006B098A" w14:paraId="09015659" w14:textId="77777777" w:rsidTr="001564D9">
        <w:tc>
          <w:tcPr>
            <w:tcW w:w="817" w:type="dxa"/>
          </w:tcPr>
          <w:p w14:paraId="4D10B1CB" w14:textId="33162E3C" w:rsidR="001564D9" w:rsidRPr="00982412" w:rsidRDefault="001564D9" w:rsidP="001564D9">
            <w:pPr>
              <w:spacing w:before="240"/>
              <w:jc w:val="center"/>
              <w:rPr>
                <w:b/>
                <w:sz w:val="24"/>
                <w:szCs w:val="24"/>
              </w:rPr>
            </w:pPr>
            <w:r w:rsidRPr="00982412">
              <w:rPr>
                <w:b/>
                <w:sz w:val="24"/>
                <w:szCs w:val="24"/>
              </w:rPr>
              <w:t>3.</w:t>
            </w:r>
          </w:p>
        </w:tc>
        <w:tc>
          <w:tcPr>
            <w:tcW w:w="4253" w:type="dxa"/>
          </w:tcPr>
          <w:p w14:paraId="4E6E7D24" w14:textId="3A00D5A3" w:rsidR="001564D9" w:rsidRPr="00982412" w:rsidRDefault="001564D9" w:rsidP="001564D9">
            <w:pPr>
              <w:spacing w:before="240"/>
              <w:rPr>
                <w:b/>
                <w:sz w:val="24"/>
                <w:szCs w:val="24"/>
              </w:rPr>
            </w:pPr>
            <w:r w:rsidRPr="00982412">
              <w:rPr>
                <w:b/>
                <w:sz w:val="24"/>
                <w:szCs w:val="24"/>
              </w:rPr>
              <w:t xml:space="preserve">FMLC initiatives </w:t>
            </w:r>
          </w:p>
          <w:p w14:paraId="64854962" w14:textId="77777777" w:rsidR="001564D9" w:rsidRPr="00982412" w:rsidRDefault="001564D9" w:rsidP="008F31B8">
            <w:pPr>
              <w:jc w:val="left"/>
              <w:rPr>
                <w:sz w:val="24"/>
                <w:szCs w:val="24"/>
              </w:rPr>
            </w:pPr>
          </w:p>
        </w:tc>
        <w:tc>
          <w:tcPr>
            <w:tcW w:w="9432" w:type="dxa"/>
          </w:tcPr>
          <w:p w14:paraId="25FB44C2" w14:textId="0141B734" w:rsidR="001564D9" w:rsidRPr="006B098A" w:rsidRDefault="001564D9" w:rsidP="00CA1139">
            <w:pPr>
              <w:rPr>
                <w:b/>
                <w:sz w:val="24"/>
                <w:szCs w:val="24"/>
              </w:rPr>
            </w:pPr>
            <w:r w:rsidRPr="006B098A">
              <w:rPr>
                <w:b/>
                <w:sz w:val="24"/>
                <w:szCs w:val="24"/>
              </w:rPr>
              <w:t>Financial Markets Law Committee (Bank of England)</w:t>
            </w:r>
          </w:p>
          <w:p w14:paraId="584FD092" w14:textId="1F2B388D" w:rsidR="001564D9" w:rsidRPr="006B098A" w:rsidRDefault="001564D9" w:rsidP="00BF1A99">
            <w:pPr>
              <w:rPr>
                <w:b/>
                <w:sz w:val="24"/>
                <w:szCs w:val="24"/>
              </w:rPr>
            </w:pPr>
            <w:r w:rsidRPr="006B098A">
              <w:rPr>
                <w:color w:val="000000" w:themeColor="text1"/>
                <w:sz w:val="24"/>
                <w:szCs w:val="24"/>
              </w:rPr>
              <w:t>Joanna Perkins</w:t>
            </w:r>
            <w:r w:rsidRPr="006B098A">
              <w:rPr>
                <w:rFonts w:eastAsia="MS Mincho"/>
                <w:sz w:val="24"/>
                <w:szCs w:val="24"/>
                <w:lang w:eastAsia="ja-JP"/>
              </w:rPr>
              <w:t xml:space="preserve"> </w:t>
            </w:r>
          </w:p>
        </w:tc>
      </w:tr>
      <w:tr w:rsidR="00146DA7" w:rsidRPr="006B098A" w14:paraId="5C15FFD9" w14:textId="77777777" w:rsidTr="001564D9">
        <w:tc>
          <w:tcPr>
            <w:tcW w:w="817" w:type="dxa"/>
          </w:tcPr>
          <w:p w14:paraId="4C2E9BA7" w14:textId="54F08BFB" w:rsidR="00146DA7" w:rsidRPr="00982412" w:rsidRDefault="00E84C3E" w:rsidP="00E84C3E">
            <w:pPr>
              <w:rPr>
                <w:color w:val="000000" w:themeColor="text1"/>
                <w:sz w:val="24"/>
                <w:szCs w:val="24"/>
              </w:rPr>
            </w:pPr>
            <w:r w:rsidRPr="00982412">
              <w:rPr>
                <w:color w:val="000000" w:themeColor="text1"/>
                <w:sz w:val="24"/>
                <w:szCs w:val="24"/>
              </w:rPr>
              <w:t xml:space="preserve">   a.  </w:t>
            </w:r>
          </w:p>
        </w:tc>
        <w:tc>
          <w:tcPr>
            <w:tcW w:w="4253" w:type="dxa"/>
          </w:tcPr>
          <w:p w14:paraId="4F496C39" w14:textId="1481A1F3" w:rsidR="00146DA7" w:rsidRPr="00982412" w:rsidRDefault="00146DA7" w:rsidP="000B1BA7">
            <w:pPr>
              <w:ind w:leftChars="-1" w:left="-2" w:firstLineChars="15" w:firstLine="36"/>
              <w:rPr>
                <w:sz w:val="24"/>
                <w:szCs w:val="24"/>
              </w:rPr>
            </w:pPr>
            <w:r w:rsidRPr="00982412">
              <w:rPr>
                <w:color w:val="000000" w:themeColor="text1"/>
                <w:sz w:val="24"/>
                <w:szCs w:val="24"/>
              </w:rPr>
              <w:t>Brexit</w:t>
            </w:r>
          </w:p>
          <w:p w14:paraId="5A43AED8" w14:textId="34EEFC14" w:rsidR="00146DA7" w:rsidRPr="00982412" w:rsidRDefault="00146DA7" w:rsidP="00AA30CC">
            <w:pPr>
              <w:pStyle w:val="ListParagraph"/>
              <w:ind w:left="360"/>
              <w:rPr>
                <w:rFonts w:ascii="Times New Roman" w:eastAsiaTheme="minorEastAsia" w:hAnsi="Times New Roman"/>
                <w:szCs w:val="24"/>
                <w:lang w:eastAsia="en-GB"/>
              </w:rPr>
            </w:pPr>
          </w:p>
        </w:tc>
        <w:tc>
          <w:tcPr>
            <w:tcW w:w="9432" w:type="dxa"/>
          </w:tcPr>
          <w:p w14:paraId="71977FFD" w14:textId="3DFD657B" w:rsidR="00146DA7" w:rsidRPr="006B098A" w:rsidRDefault="00146DA7" w:rsidP="00DA7BBB">
            <w:pPr>
              <w:rPr>
                <w:sz w:val="24"/>
                <w:szCs w:val="24"/>
              </w:rPr>
            </w:pPr>
          </w:p>
        </w:tc>
      </w:tr>
    </w:tbl>
    <w:p w14:paraId="45A06CD9" w14:textId="2D354F93" w:rsidR="00FE18D5" w:rsidRDefault="00FE18D5" w:rsidP="00780FE6">
      <w:pPr>
        <w:rPr>
          <w:sz w:val="24"/>
          <w:szCs w:val="24"/>
        </w:rPr>
      </w:pPr>
    </w:p>
    <w:p w14:paraId="713A88B3" w14:textId="77777777" w:rsidR="00FE18D5" w:rsidRPr="006B098A" w:rsidRDefault="00FE18D5">
      <w:pPr>
        <w:tabs>
          <w:tab w:val="clear" w:pos="851"/>
          <w:tab w:val="clear" w:pos="9356"/>
        </w:tabs>
        <w:spacing w:before="0" w:after="0" w:line="240" w:lineRule="auto"/>
        <w:jc w:val="left"/>
        <w:rPr>
          <w:sz w:val="24"/>
          <w:szCs w:val="24"/>
        </w:rPr>
      </w:pPr>
      <w:r w:rsidRPr="006B098A">
        <w:rPr>
          <w:sz w:val="24"/>
          <w:szCs w:val="24"/>
        </w:rPr>
        <w:br w:type="page"/>
      </w:r>
    </w:p>
    <w:p w14:paraId="69190344" w14:textId="77777777" w:rsidR="00311FB6" w:rsidRPr="006B098A" w:rsidRDefault="00311FB6" w:rsidP="00780FE6">
      <w:pPr>
        <w:rPr>
          <w:sz w:val="24"/>
          <w:szCs w:val="24"/>
        </w:rPr>
      </w:pPr>
    </w:p>
    <w:tbl>
      <w:tblPr>
        <w:tblStyle w:val="TableGrid"/>
        <w:tblW w:w="0" w:type="auto"/>
        <w:tblLook w:val="01E0" w:firstRow="1" w:lastRow="1" w:firstColumn="1" w:lastColumn="1" w:noHBand="0" w:noVBand="0"/>
      </w:tblPr>
      <w:tblGrid>
        <w:gridCol w:w="817"/>
        <w:gridCol w:w="4253"/>
        <w:gridCol w:w="9432"/>
      </w:tblGrid>
      <w:tr w:rsidR="00311FB6" w:rsidRPr="006B098A" w14:paraId="5D4A14BE" w14:textId="77777777" w:rsidTr="00311FB6">
        <w:tc>
          <w:tcPr>
            <w:tcW w:w="817" w:type="dxa"/>
          </w:tcPr>
          <w:p w14:paraId="07CC3D4F" w14:textId="644D0729" w:rsidR="00311FB6" w:rsidRPr="00982412" w:rsidRDefault="00311FB6" w:rsidP="00311FB6">
            <w:pPr>
              <w:widowControl w:val="0"/>
              <w:spacing w:after="0" w:line="240" w:lineRule="auto"/>
              <w:jc w:val="center"/>
              <w:rPr>
                <w:b/>
                <w:color w:val="000000" w:themeColor="text1"/>
                <w:sz w:val="24"/>
                <w:szCs w:val="24"/>
              </w:rPr>
            </w:pPr>
            <w:r w:rsidRPr="00982412">
              <w:rPr>
                <w:b/>
                <w:color w:val="000000" w:themeColor="text1"/>
                <w:sz w:val="24"/>
                <w:szCs w:val="24"/>
              </w:rPr>
              <w:t>4.</w:t>
            </w:r>
          </w:p>
        </w:tc>
        <w:tc>
          <w:tcPr>
            <w:tcW w:w="4253" w:type="dxa"/>
          </w:tcPr>
          <w:p w14:paraId="4158C083" w14:textId="0031492D" w:rsidR="00311FB6" w:rsidRPr="00982412" w:rsidRDefault="00311FB6" w:rsidP="00311FB6">
            <w:pPr>
              <w:widowControl w:val="0"/>
              <w:spacing w:after="0" w:line="240" w:lineRule="auto"/>
              <w:ind w:left="284"/>
              <w:rPr>
                <w:color w:val="000000" w:themeColor="text1"/>
                <w:sz w:val="24"/>
                <w:szCs w:val="24"/>
              </w:rPr>
            </w:pPr>
            <w:r w:rsidRPr="00982412">
              <w:rPr>
                <w:b/>
                <w:sz w:val="24"/>
                <w:szCs w:val="24"/>
              </w:rPr>
              <w:t>FMLG initiatives</w:t>
            </w:r>
          </w:p>
        </w:tc>
        <w:tc>
          <w:tcPr>
            <w:tcW w:w="9432" w:type="dxa"/>
          </w:tcPr>
          <w:p w14:paraId="10872CB1" w14:textId="77777777" w:rsidR="00311FB6" w:rsidRPr="006B098A" w:rsidRDefault="00311FB6" w:rsidP="00311FB6">
            <w:pPr>
              <w:rPr>
                <w:b/>
                <w:sz w:val="24"/>
                <w:szCs w:val="24"/>
              </w:rPr>
            </w:pPr>
            <w:r w:rsidRPr="006B098A">
              <w:rPr>
                <w:b/>
                <w:sz w:val="24"/>
                <w:szCs w:val="24"/>
              </w:rPr>
              <w:t>Financial Markets Lawyers Group (Federal Reserve of New York)</w:t>
            </w:r>
          </w:p>
          <w:p w14:paraId="04DE4001" w14:textId="2CCA3481" w:rsidR="00311FB6" w:rsidRPr="006B098A" w:rsidRDefault="00311FB6" w:rsidP="00311FB6">
            <w:pPr>
              <w:rPr>
                <w:sz w:val="24"/>
                <w:szCs w:val="24"/>
              </w:rPr>
            </w:pPr>
            <w:r w:rsidRPr="006B098A">
              <w:rPr>
                <w:color w:val="000000" w:themeColor="text1"/>
                <w:sz w:val="24"/>
                <w:szCs w:val="24"/>
              </w:rPr>
              <w:t xml:space="preserve">Michael </w:t>
            </w:r>
            <w:bookmarkStart w:id="1" w:name="_GoBack"/>
            <w:bookmarkEnd w:id="1"/>
            <w:r w:rsidRPr="006B098A">
              <w:rPr>
                <w:color w:val="000000" w:themeColor="text1"/>
                <w:sz w:val="24"/>
                <w:szCs w:val="24"/>
              </w:rPr>
              <w:t>Nelson, Shawei Wang</w:t>
            </w:r>
          </w:p>
        </w:tc>
      </w:tr>
      <w:tr w:rsidR="000B1BA7" w:rsidRPr="006B098A" w14:paraId="7177B336" w14:textId="77777777" w:rsidTr="00311FB6">
        <w:tc>
          <w:tcPr>
            <w:tcW w:w="817" w:type="dxa"/>
          </w:tcPr>
          <w:p w14:paraId="7CA3CC64" w14:textId="7A18A8FA" w:rsidR="000B1BA7" w:rsidRPr="00982412" w:rsidRDefault="00311FB6" w:rsidP="00311FB6">
            <w:pPr>
              <w:widowControl w:val="0"/>
              <w:spacing w:after="0" w:line="240" w:lineRule="auto"/>
              <w:jc w:val="center"/>
              <w:rPr>
                <w:color w:val="000000" w:themeColor="text1"/>
                <w:sz w:val="24"/>
                <w:szCs w:val="24"/>
              </w:rPr>
            </w:pPr>
            <w:r w:rsidRPr="00982412">
              <w:rPr>
                <w:color w:val="000000" w:themeColor="text1"/>
                <w:sz w:val="24"/>
                <w:szCs w:val="24"/>
              </w:rPr>
              <w:t>a.</w:t>
            </w:r>
          </w:p>
        </w:tc>
        <w:tc>
          <w:tcPr>
            <w:tcW w:w="4253" w:type="dxa"/>
          </w:tcPr>
          <w:p w14:paraId="23E328A4" w14:textId="7CEF1FCC" w:rsidR="000B1BA7" w:rsidRPr="00982412" w:rsidRDefault="000B1BA7" w:rsidP="008C36E0">
            <w:pPr>
              <w:widowControl w:val="0"/>
              <w:spacing w:after="0" w:line="240" w:lineRule="auto"/>
              <w:ind w:leftChars="15" w:left="33" w:rightChars="144" w:right="317"/>
              <w:rPr>
                <w:color w:val="000000" w:themeColor="text1"/>
                <w:sz w:val="24"/>
                <w:szCs w:val="24"/>
              </w:rPr>
            </w:pPr>
            <w:r w:rsidRPr="00982412">
              <w:rPr>
                <w:color w:val="000000" w:themeColor="text1"/>
                <w:sz w:val="24"/>
                <w:szCs w:val="24"/>
              </w:rPr>
              <w:t xml:space="preserve">Appointments to Financial Regulatory Agencies </w:t>
            </w:r>
          </w:p>
          <w:p w14:paraId="5C9AEE26" w14:textId="77777777" w:rsidR="000B1BA7" w:rsidRPr="00982412" w:rsidRDefault="000B1BA7" w:rsidP="008C36E0">
            <w:pPr>
              <w:pStyle w:val="ListParagraph"/>
              <w:widowControl w:val="0"/>
              <w:spacing w:after="0" w:line="240" w:lineRule="auto"/>
              <w:ind w:leftChars="15" w:left="304" w:rightChars="144" w:right="317" w:hangingChars="113" w:hanging="271"/>
              <w:contextualSpacing w:val="0"/>
              <w:rPr>
                <w:rFonts w:ascii="Times New Roman" w:hAnsi="Times New Roman"/>
                <w:color w:val="000000" w:themeColor="text1"/>
                <w:kern w:val="0"/>
                <w:szCs w:val="24"/>
              </w:rPr>
            </w:pPr>
          </w:p>
          <w:p w14:paraId="1683E615" w14:textId="5644AE64" w:rsidR="000B1BA7" w:rsidRPr="00982412" w:rsidRDefault="000B1BA7" w:rsidP="008C36E0">
            <w:pPr>
              <w:pStyle w:val="ListParagraph"/>
              <w:widowControl w:val="0"/>
              <w:spacing w:after="0" w:line="240" w:lineRule="auto"/>
              <w:ind w:leftChars="15" w:left="304" w:rightChars="144" w:right="317" w:hangingChars="113" w:hanging="271"/>
              <w:contextualSpacing w:val="0"/>
              <w:rPr>
                <w:rFonts w:ascii="Times New Roman" w:hAnsi="Times New Roman"/>
                <w:color w:val="000000" w:themeColor="text1"/>
                <w:kern w:val="0"/>
                <w:szCs w:val="24"/>
              </w:rPr>
            </w:pPr>
          </w:p>
        </w:tc>
        <w:tc>
          <w:tcPr>
            <w:tcW w:w="9432" w:type="dxa"/>
          </w:tcPr>
          <w:p w14:paraId="5D1E60E2" w14:textId="0C2943D5" w:rsidR="000B1BA7" w:rsidRPr="006B098A" w:rsidRDefault="000B1BA7" w:rsidP="00C60B12">
            <w:pPr>
              <w:rPr>
                <w:sz w:val="24"/>
                <w:szCs w:val="24"/>
              </w:rPr>
            </w:pPr>
          </w:p>
        </w:tc>
      </w:tr>
      <w:tr w:rsidR="000B1BA7" w:rsidRPr="006B098A" w14:paraId="76EC95BD" w14:textId="77777777" w:rsidTr="00311FB6">
        <w:tc>
          <w:tcPr>
            <w:tcW w:w="817" w:type="dxa"/>
          </w:tcPr>
          <w:p w14:paraId="1AE7DFC6" w14:textId="1F176D0B" w:rsidR="000B1BA7" w:rsidRPr="00982412" w:rsidRDefault="00311FB6" w:rsidP="00311FB6">
            <w:pPr>
              <w:widowControl w:val="0"/>
              <w:spacing w:after="0" w:line="240" w:lineRule="auto"/>
              <w:jc w:val="center"/>
              <w:rPr>
                <w:color w:val="000000" w:themeColor="text1"/>
                <w:sz w:val="24"/>
                <w:szCs w:val="24"/>
              </w:rPr>
            </w:pPr>
            <w:r w:rsidRPr="00982412">
              <w:rPr>
                <w:color w:val="000000" w:themeColor="text1"/>
                <w:sz w:val="24"/>
                <w:szCs w:val="24"/>
              </w:rPr>
              <w:t>b.</w:t>
            </w:r>
          </w:p>
        </w:tc>
        <w:tc>
          <w:tcPr>
            <w:tcW w:w="4253" w:type="dxa"/>
          </w:tcPr>
          <w:p w14:paraId="64DA9C16" w14:textId="32E51F20" w:rsidR="000B1BA7" w:rsidRPr="00982412" w:rsidRDefault="000B1BA7" w:rsidP="00982412">
            <w:pPr>
              <w:widowControl w:val="0"/>
              <w:spacing w:after="0" w:line="240" w:lineRule="auto"/>
              <w:ind w:leftChars="15" w:left="304" w:rightChars="144" w:right="317" w:hangingChars="113" w:hanging="271"/>
              <w:rPr>
                <w:color w:val="000000" w:themeColor="text1"/>
                <w:sz w:val="24"/>
                <w:szCs w:val="24"/>
              </w:rPr>
            </w:pPr>
            <w:r w:rsidRPr="00982412">
              <w:rPr>
                <w:color w:val="000000" w:themeColor="text1"/>
                <w:sz w:val="24"/>
                <w:szCs w:val="24"/>
              </w:rPr>
              <w:t xml:space="preserve">Fintech Charters </w:t>
            </w:r>
          </w:p>
          <w:p w14:paraId="31A2F1E7" w14:textId="77777777" w:rsidR="000B1BA7" w:rsidRPr="00982412" w:rsidRDefault="000B1BA7" w:rsidP="008C36E0">
            <w:pPr>
              <w:pStyle w:val="ListParagraph"/>
              <w:widowControl w:val="0"/>
              <w:spacing w:after="0" w:line="240" w:lineRule="auto"/>
              <w:ind w:leftChars="15" w:left="304" w:rightChars="144" w:right="317" w:hangingChars="113" w:hanging="271"/>
              <w:contextualSpacing w:val="0"/>
              <w:rPr>
                <w:rFonts w:ascii="Times New Roman" w:hAnsi="Times New Roman"/>
                <w:color w:val="000000" w:themeColor="text1"/>
                <w:kern w:val="0"/>
                <w:szCs w:val="24"/>
              </w:rPr>
            </w:pPr>
          </w:p>
          <w:p w14:paraId="38F85F8C" w14:textId="2BF4AE97" w:rsidR="000B1BA7" w:rsidRPr="00982412" w:rsidRDefault="000B1BA7" w:rsidP="008C36E0">
            <w:pPr>
              <w:pStyle w:val="ListParagraph"/>
              <w:widowControl w:val="0"/>
              <w:spacing w:after="0" w:line="240" w:lineRule="auto"/>
              <w:ind w:leftChars="15" w:left="304" w:rightChars="144" w:right="317" w:hangingChars="113" w:hanging="271"/>
              <w:contextualSpacing w:val="0"/>
              <w:rPr>
                <w:rFonts w:ascii="Times New Roman" w:hAnsi="Times New Roman"/>
                <w:color w:val="000000" w:themeColor="text1"/>
                <w:kern w:val="0"/>
                <w:szCs w:val="24"/>
              </w:rPr>
            </w:pPr>
          </w:p>
        </w:tc>
        <w:tc>
          <w:tcPr>
            <w:tcW w:w="9432" w:type="dxa"/>
          </w:tcPr>
          <w:p w14:paraId="2B765D78" w14:textId="04DF743E" w:rsidR="000B1BA7" w:rsidRPr="006B098A" w:rsidRDefault="000B1BA7" w:rsidP="008F31B8">
            <w:pPr>
              <w:rPr>
                <w:sz w:val="24"/>
                <w:szCs w:val="24"/>
              </w:rPr>
            </w:pPr>
          </w:p>
        </w:tc>
      </w:tr>
    </w:tbl>
    <w:p w14:paraId="53D5525E" w14:textId="39C5BBA3" w:rsidR="000350EF" w:rsidRDefault="000350EF"/>
    <w:tbl>
      <w:tblPr>
        <w:tblStyle w:val="TableGrid"/>
        <w:tblW w:w="0" w:type="auto"/>
        <w:tblLook w:val="01E0" w:firstRow="1" w:lastRow="1" w:firstColumn="1" w:lastColumn="1" w:noHBand="0" w:noVBand="0"/>
      </w:tblPr>
      <w:tblGrid>
        <w:gridCol w:w="817"/>
        <w:gridCol w:w="4253"/>
        <w:gridCol w:w="9432"/>
      </w:tblGrid>
      <w:tr w:rsidR="000B1BA7" w:rsidRPr="006B098A" w14:paraId="2D8DE57A" w14:textId="77777777" w:rsidTr="00311FB6">
        <w:tc>
          <w:tcPr>
            <w:tcW w:w="817" w:type="dxa"/>
          </w:tcPr>
          <w:p w14:paraId="786AF1FD" w14:textId="452E0489" w:rsidR="000B1BA7" w:rsidRPr="00311FB6" w:rsidRDefault="008C36E0" w:rsidP="008C36E0">
            <w:pPr>
              <w:spacing w:before="240"/>
              <w:jc w:val="center"/>
              <w:rPr>
                <w:b/>
                <w:szCs w:val="24"/>
              </w:rPr>
            </w:pPr>
            <w:r w:rsidRPr="00982412">
              <w:rPr>
                <w:b/>
                <w:sz w:val="24"/>
                <w:szCs w:val="24"/>
              </w:rPr>
              <w:t>5</w:t>
            </w:r>
            <w:r>
              <w:rPr>
                <w:b/>
                <w:szCs w:val="24"/>
              </w:rPr>
              <w:t>.</w:t>
            </w:r>
          </w:p>
        </w:tc>
        <w:tc>
          <w:tcPr>
            <w:tcW w:w="4253" w:type="dxa"/>
          </w:tcPr>
          <w:p w14:paraId="09F11167" w14:textId="4C807DE7" w:rsidR="000B1BA7" w:rsidRPr="00982412" w:rsidRDefault="000B1BA7" w:rsidP="00311FB6">
            <w:pPr>
              <w:spacing w:before="240"/>
              <w:rPr>
                <w:b/>
                <w:sz w:val="24"/>
                <w:szCs w:val="24"/>
              </w:rPr>
            </w:pPr>
            <w:r w:rsidRPr="00982412">
              <w:rPr>
                <w:b/>
                <w:sz w:val="24"/>
                <w:szCs w:val="24"/>
              </w:rPr>
              <w:t xml:space="preserve">HKMA initiatives </w:t>
            </w:r>
          </w:p>
        </w:tc>
        <w:tc>
          <w:tcPr>
            <w:tcW w:w="9432" w:type="dxa"/>
          </w:tcPr>
          <w:p w14:paraId="13CFCDB4" w14:textId="77777777" w:rsidR="000B1BA7" w:rsidRPr="006B098A" w:rsidRDefault="000B1BA7" w:rsidP="00CA1139">
            <w:pPr>
              <w:rPr>
                <w:b/>
                <w:sz w:val="24"/>
                <w:szCs w:val="24"/>
              </w:rPr>
            </w:pPr>
            <w:r w:rsidRPr="006B098A">
              <w:rPr>
                <w:b/>
                <w:sz w:val="24"/>
                <w:szCs w:val="24"/>
              </w:rPr>
              <w:t xml:space="preserve">Hong Kong Monetary Authority </w:t>
            </w:r>
          </w:p>
          <w:p w14:paraId="18667472" w14:textId="46984C4F" w:rsidR="000B1BA7" w:rsidRPr="006B098A" w:rsidRDefault="000B1BA7" w:rsidP="008F31B8">
            <w:pPr>
              <w:rPr>
                <w:sz w:val="24"/>
                <w:szCs w:val="24"/>
              </w:rPr>
            </w:pPr>
            <w:r w:rsidRPr="006B098A">
              <w:rPr>
                <w:sz w:val="24"/>
                <w:szCs w:val="24"/>
              </w:rPr>
              <w:t xml:space="preserve">Mayanna To, Doris Chan , Evon Leung </w:t>
            </w:r>
          </w:p>
        </w:tc>
      </w:tr>
      <w:tr w:rsidR="008C36E0" w:rsidRPr="006B098A" w14:paraId="02F5F925" w14:textId="77777777" w:rsidTr="00311FB6">
        <w:tc>
          <w:tcPr>
            <w:tcW w:w="817" w:type="dxa"/>
          </w:tcPr>
          <w:p w14:paraId="57AF620C" w14:textId="685FCF3C" w:rsidR="008C36E0" w:rsidRPr="00982412" w:rsidRDefault="008C36E0" w:rsidP="0045482C">
            <w:pPr>
              <w:widowControl w:val="0"/>
              <w:spacing w:after="0" w:line="240" w:lineRule="auto"/>
              <w:jc w:val="center"/>
              <w:rPr>
                <w:sz w:val="24"/>
                <w:szCs w:val="24"/>
              </w:rPr>
            </w:pPr>
            <w:r w:rsidRPr="00982412">
              <w:rPr>
                <w:color w:val="000000" w:themeColor="text1"/>
                <w:sz w:val="24"/>
                <w:szCs w:val="24"/>
              </w:rPr>
              <w:t>a.</w:t>
            </w:r>
          </w:p>
        </w:tc>
        <w:tc>
          <w:tcPr>
            <w:tcW w:w="4253" w:type="dxa"/>
          </w:tcPr>
          <w:p w14:paraId="7476C5B5" w14:textId="39D26667" w:rsidR="008C36E0" w:rsidRPr="00982412" w:rsidRDefault="008C36E0" w:rsidP="00982412">
            <w:pPr>
              <w:widowControl w:val="0"/>
              <w:spacing w:after="0" w:line="240" w:lineRule="auto"/>
              <w:ind w:firstLineChars="15" w:firstLine="36"/>
              <w:rPr>
                <w:sz w:val="24"/>
                <w:szCs w:val="24"/>
              </w:rPr>
            </w:pPr>
            <w:r w:rsidRPr="00982412">
              <w:rPr>
                <w:sz w:val="24"/>
                <w:szCs w:val="24"/>
              </w:rPr>
              <w:t>Faster Payment System</w:t>
            </w:r>
          </w:p>
          <w:p w14:paraId="5DAC807B" w14:textId="77777777" w:rsidR="008C36E0" w:rsidRPr="00982412" w:rsidRDefault="008C36E0" w:rsidP="008C36E0">
            <w:pPr>
              <w:widowControl w:val="0"/>
              <w:spacing w:after="0" w:line="240" w:lineRule="auto"/>
              <w:ind w:leftChars="-113" w:left="22" w:hangingChars="113" w:hanging="271"/>
              <w:rPr>
                <w:sz w:val="24"/>
                <w:szCs w:val="24"/>
              </w:rPr>
            </w:pPr>
          </w:p>
        </w:tc>
        <w:tc>
          <w:tcPr>
            <w:tcW w:w="9432" w:type="dxa"/>
          </w:tcPr>
          <w:p w14:paraId="3DC9D4D0" w14:textId="5BB451EF" w:rsidR="008C36E0" w:rsidRPr="006B098A" w:rsidRDefault="008C36E0" w:rsidP="007A3EDF">
            <w:pPr>
              <w:rPr>
                <w:sz w:val="24"/>
                <w:szCs w:val="24"/>
              </w:rPr>
            </w:pPr>
          </w:p>
        </w:tc>
      </w:tr>
      <w:tr w:rsidR="008C36E0" w:rsidRPr="006B098A" w14:paraId="77373D61" w14:textId="77777777" w:rsidTr="00311FB6">
        <w:tc>
          <w:tcPr>
            <w:tcW w:w="817" w:type="dxa"/>
          </w:tcPr>
          <w:p w14:paraId="0DC559F4" w14:textId="3E9E114E" w:rsidR="008C36E0" w:rsidRPr="00982412" w:rsidRDefault="008C36E0" w:rsidP="0045482C">
            <w:pPr>
              <w:widowControl w:val="0"/>
              <w:spacing w:after="0" w:line="240" w:lineRule="auto"/>
              <w:jc w:val="center"/>
              <w:rPr>
                <w:sz w:val="24"/>
                <w:szCs w:val="24"/>
              </w:rPr>
            </w:pPr>
            <w:r w:rsidRPr="00982412">
              <w:rPr>
                <w:color w:val="000000" w:themeColor="text1"/>
                <w:sz w:val="24"/>
                <w:szCs w:val="24"/>
              </w:rPr>
              <w:t>b.</w:t>
            </w:r>
          </w:p>
        </w:tc>
        <w:tc>
          <w:tcPr>
            <w:tcW w:w="4253" w:type="dxa"/>
          </w:tcPr>
          <w:p w14:paraId="76D068F8" w14:textId="7E513E06" w:rsidR="008C36E0" w:rsidRPr="00982412" w:rsidRDefault="008C36E0" w:rsidP="000350EF">
            <w:pPr>
              <w:widowControl w:val="0"/>
              <w:spacing w:after="0" w:line="240" w:lineRule="auto"/>
              <w:ind w:leftChars="15" w:left="33" w:rightChars="80" w:right="176" w:firstLineChars="15" w:firstLine="36"/>
              <w:jc w:val="left"/>
              <w:rPr>
                <w:sz w:val="24"/>
                <w:szCs w:val="24"/>
              </w:rPr>
            </w:pPr>
            <w:r w:rsidRPr="00982412">
              <w:rPr>
                <w:sz w:val="24"/>
                <w:szCs w:val="24"/>
              </w:rPr>
              <w:t>Guidance Note on Cooperation with the HKMA in Investigations and Enforcement Proceedings</w:t>
            </w:r>
          </w:p>
          <w:p w14:paraId="7457F682" w14:textId="77777777" w:rsidR="008C36E0" w:rsidRPr="00982412" w:rsidRDefault="008C36E0" w:rsidP="00B76BB2">
            <w:pPr>
              <w:pStyle w:val="ListParagraph"/>
              <w:widowControl w:val="0"/>
              <w:spacing w:after="0" w:line="240" w:lineRule="auto"/>
              <w:ind w:leftChars="15" w:left="33" w:rightChars="80" w:right="176" w:firstLineChars="15" w:firstLine="36"/>
              <w:contextualSpacing w:val="0"/>
              <w:rPr>
                <w:rFonts w:ascii="Times New Roman" w:hAnsi="Times New Roman"/>
                <w:szCs w:val="24"/>
                <w:lang w:val="en-GB"/>
              </w:rPr>
            </w:pPr>
          </w:p>
          <w:p w14:paraId="3C3C6FDA" w14:textId="77777777" w:rsidR="008C36E0" w:rsidRPr="00982412" w:rsidRDefault="008C36E0" w:rsidP="00B76BB2">
            <w:pPr>
              <w:pStyle w:val="ListParagraph"/>
              <w:widowControl w:val="0"/>
              <w:spacing w:after="0" w:line="240" w:lineRule="auto"/>
              <w:ind w:leftChars="15" w:left="33" w:rightChars="80" w:right="176" w:firstLineChars="15" w:firstLine="36"/>
              <w:contextualSpacing w:val="0"/>
              <w:rPr>
                <w:rFonts w:ascii="Times New Roman" w:hAnsi="Times New Roman"/>
                <w:szCs w:val="24"/>
                <w:lang w:val="en-GB"/>
              </w:rPr>
            </w:pPr>
          </w:p>
        </w:tc>
        <w:tc>
          <w:tcPr>
            <w:tcW w:w="9432" w:type="dxa"/>
          </w:tcPr>
          <w:p w14:paraId="759BDB41" w14:textId="77777777" w:rsidR="008C36E0" w:rsidRPr="006B098A" w:rsidRDefault="008C36E0" w:rsidP="007A3EDF">
            <w:pPr>
              <w:rPr>
                <w:sz w:val="24"/>
                <w:szCs w:val="24"/>
              </w:rPr>
            </w:pPr>
          </w:p>
        </w:tc>
      </w:tr>
      <w:tr w:rsidR="008C36E0" w:rsidRPr="006B098A" w14:paraId="3503F797" w14:textId="77777777" w:rsidTr="00311FB6">
        <w:tc>
          <w:tcPr>
            <w:tcW w:w="817" w:type="dxa"/>
          </w:tcPr>
          <w:p w14:paraId="36521E96" w14:textId="1573AAD5" w:rsidR="008C36E0" w:rsidRPr="00982412" w:rsidRDefault="008C36E0" w:rsidP="0045482C">
            <w:pPr>
              <w:widowControl w:val="0"/>
              <w:spacing w:after="0" w:line="240" w:lineRule="auto"/>
              <w:jc w:val="center"/>
              <w:rPr>
                <w:sz w:val="24"/>
                <w:szCs w:val="24"/>
              </w:rPr>
            </w:pPr>
            <w:r w:rsidRPr="00982412">
              <w:rPr>
                <w:color w:val="000000" w:themeColor="text1"/>
                <w:sz w:val="24"/>
                <w:szCs w:val="24"/>
              </w:rPr>
              <w:t>c.</w:t>
            </w:r>
          </w:p>
        </w:tc>
        <w:tc>
          <w:tcPr>
            <w:tcW w:w="4253" w:type="dxa"/>
          </w:tcPr>
          <w:p w14:paraId="3457EE07" w14:textId="67189D29" w:rsidR="008C36E0" w:rsidRPr="00982412" w:rsidRDefault="008C36E0" w:rsidP="000350EF">
            <w:pPr>
              <w:widowControl w:val="0"/>
              <w:spacing w:after="0" w:line="240" w:lineRule="auto"/>
              <w:ind w:leftChars="15" w:left="33" w:rightChars="80" w:right="176" w:firstLineChars="15" w:firstLine="36"/>
              <w:jc w:val="left"/>
              <w:rPr>
                <w:sz w:val="24"/>
                <w:szCs w:val="24"/>
              </w:rPr>
            </w:pPr>
            <w:r w:rsidRPr="00982412">
              <w:rPr>
                <w:sz w:val="24"/>
                <w:szCs w:val="24"/>
              </w:rPr>
              <w:t>Draft Financial Institutions (Resolution) (Loss-absorbing Capacity Requirements – Banking Sector) Rules</w:t>
            </w:r>
          </w:p>
          <w:p w14:paraId="1861EA99" w14:textId="77777777" w:rsidR="008C36E0" w:rsidRPr="00982412" w:rsidRDefault="008C36E0" w:rsidP="00B76BB2">
            <w:pPr>
              <w:pStyle w:val="ListParagraph"/>
              <w:widowControl w:val="0"/>
              <w:spacing w:after="0" w:line="240" w:lineRule="auto"/>
              <w:ind w:leftChars="15" w:left="33" w:rightChars="80" w:right="176" w:firstLineChars="15" w:firstLine="36"/>
              <w:contextualSpacing w:val="0"/>
              <w:rPr>
                <w:rFonts w:ascii="Times New Roman" w:hAnsi="Times New Roman"/>
                <w:szCs w:val="24"/>
                <w:lang w:val="en-GB"/>
              </w:rPr>
            </w:pPr>
          </w:p>
          <w:p w14:paraId="708BD673" w14:textId="0EBC0093" w:rsidR="008C36E0" w:rsidRPr="00982412" w:rsidRDefault="008C36E0" w:rsidP="00B76BB2">
            <w:pPr>
              <w:pStyle w:val="ListParagraph"/>
              <w:widowControl w:val="0"/>
              <w:spacing w:after="0" w:line="240" w:lineRule="auto"/>
              <w:ind w:leftChars="15" w:left="33" w:rightChars="80" w:right="176" w:firstLineChars="15" w:firstLine="36"/>
              <w:contextualSpacing w:val="0"/>
              <w:rPr>
                <w:rFonts w:ascii="Times New Roman" w:hAnsi="Times New Roman"/>
                <w:szCs w:val="24"/>
                <w:lang w:val="en-GB"/>
              </w:rPr>
            </w:pPr>
          </w:p>
        </w:tc>
        <w:tc>
          <w:tcPr>
            <w:tcW w:w="9432" w:type="dxa"/>
          </w:tcPr>
          <w:p w14:paraId="3FAEEE97" w14:textId="77777777" w:rsidR="008C36E0" w:rsidRPr="006B098A" w:rsidRDefault="008C36E0" w:rsidP="007A3EDF">
            <w:pPr>
              <w:rPr>
                <w:sz w:val="24"/>
                <w:szCs w:val="24"/>
              </w:rPr>
            </w:pPr>
          </w:p>
        </w:tc>
      </w:tr>
    </w:tbl>
    <w:p w14:paraId="26B09783" w14:textId="77777777" w:rsidR="00830E3E" w:rsidRDefault="00830E3E">
      <w:pPr>
        <w:tabs>
          <w:tab w:val="clear" w:pos="851"/>
          <w:tab w:val="clear" w:pos="9356"/>
        </w:tabs>
        <w:spacing w:before="0" w:after="0" w:line="240" w:lineRule="auto"/>
        <w:jc w:val="left"/>
        <w:rPr>
          <w:sz w:val="24"/>
          <w:szCs w:val="24"/>
        </w:rPr>
      </w:pPr>
    </w:p>
    <w:p w14:paraId="289C0077" w14:textId="77777777" w:rsidR="00FE18D5" w:rsidRPr="006B098A" w:rsidRDefault="00FE18D5">
      <w:pPr>
        <w:tabs>
          <w:tab w:val="clear" w:pos="851"/>
          <w:tab w:val="clear" w:pos="9356"/>
        </w:tabs>
        <w:spacing w:before="0" w:after="0" w:line="240" w:lineRule="auto"/>
        <w:jc w:val="left"/>
        <w:rPr>
          <w:sz w:val="24"/>
          <w:szCs w:val="24"/>
        </w:rPr>
      </w:pPr>
      <w:r w:rsidRPr="006B098A">
        <w:rPr>
          <w:sz w:val="24"/>
          <w:szCs w:val="24"/>
        </w:rPr>
        <w:br w:type="page"/>
      </w:r>
    </w:p>
    <w:tbl>
      <w:tblPr>
        <w:tblStyle w:val="TableGrid"/>
        <w:tblW w:w="0" w:type="auto"/>
        <w:tblLook w:val="01E0" w:firstRow="1" w:lastRow="1" w:firstColumn="1" w:lastColumn="1" w:noHBand="0" w:noVBand="0"/>
      </w:tblPr>
      <w:tblGrid>
        <w:gridCol w:w="817"/>
        <w:gridCol w:w="4253"/>
        <w:gridCol w:w="9432"/>
      </w:tblGrid>
      <w:tr w:rsidR="00B76BB2" w:rsidRPr="006B098A" w14:paraId="2F3B0F1D" w14:textId="77777777" w:rsidTr="00B76BB2">
        <w:tc>
          <w:tcPr>
            <w:tcW w:w="817" w:type="dxa"/>
          </w:tcPr>
          <w:p w14:paraId="5429A8F0" w14:textId="79B6AED9" w:rsidR="00B76BB2" w:rsidRPr="000350EF" w:rsidRDefault="00B76BB2" w:rsidP="00B76BB2">
            <w:pPr>
              <w:jc w:val="center"/>
              <w:rPr>
                <w:b/>
                <w:sz w:val="24"/>
                <w:szCs w:val="24"/>
              </w:rPr>
            </w:pPr>
            <w:r w:rsidRPr="000350EF">
              <w:rPr>
                <w:b/>
                <w:sz w:val="24"/>
                <w:szCs w:val="24"/>
              </w:rPr>
              <w:lastRenderedPageBreak/>
              <w:t>6.</w:t>
            </w:r>
          </w:p>
        </w:tc>
        <w:tc>
          <w:tcPr>
            <w:tcW w:w="4253" w:type="dxa"/>
          </w:tcPr>
          <w:p w14:paraId="6FAA32E2" w14:textId="49D0390E" w:rsidR="00B76BB2" w:rsidRPr="000350EF" w:rsidRDefault="00B76BB2" w:rsidP="0045482C">
            <w:pPr>
              <w:rPr>
                <w:b/>
                <w:sz w:val="24"/>
                <w:szCs w:val="24"/>
              </w:rPr>
            </w:pPr>
            <w:r w:rsidRPr="000350EF">
              <w:rPr>
                <w:b/>
                <w:sz w:val="24"/>
                <w:szCs w:val="24"/>
              </w:rPr>
              <w:t xml:space="preserve">MAS initiatives </w:t>
            </w:r>
          </w:p>
        </w:tc>
        <w:tc>
          <w:tcPr>
            <w:tcW w:w="9432" w:type="dxa"/>
          </w:tcPr>
          <w:p w14:paraId="6F6EF306" w14:textId="77777777" w:rsidR="00B76BB2" w:rsidRPr="006B098A" w:rsidRDefault="00B76BB2" w:rsidP="000267D2">
            <w:pPr>
              <w:rPr>
                <w:b/>
                <w:sz w:val="24"/>
                <w:szCs w:val="24"/>
              </w:rPr>
            </w:pPr>
            <w:r w:rsidRPr="006B098A">
              <w:rPr>
                <w:b/>
                <w:sz w:val="24"/>
                <w:szCs w:val="24"/>
              </w:rPr>
              <w:t>Monetary Authority Singapore</w:t>
            </w:r>
          </w:p>
          <w:p w14:paraId="0E6E0ED1" w14:textId="77777777" w:rsidR="00B76BB2" w:rsidRPr="006B098A" w:rsidRDefault="00B76BB2" w:rsidP="000267D2">
            <w:pPr>
              <w:ind w:left="34"/>
              <w:rPr>
                <w:sz w:val="24"/>
                <w:szCs w:val="24"/>
                <w:lang w:val="it-IT"/>
              </w:rPr>
            </w:pPr>
            <w:r w:rsidRPr="006B098A">
              <w:rPr>
                <w:sz w:val="24"/>
                <w:szCs w:val="24"/>
                <w:lang w:eastAsia="ja-JP"/>
              </w:rPr>
              <w:t xml:space="preserve">Paul Yuen, Lynette Lee, Dawn Chew, Ter Kah Hwee </w:t>
            </w:r>
          </w:p>
        </w:tc>
      </w:tr>
      <w:tr w:rsidR="00B76BB2" w:rsidRPr="006B098A" w14:paraId="00F22647" w14:textId="77777777" w:rsidTr="00B76BB2">
        <w:trPr>
          <w:trHeight w:val="1016"/>
        </w:trPr>
        <w:tc>
          <w:tcPr>
            <w:tcW w:w="817" w:type="dxa"/>
          </w:tcPr>
          <w:p w14:paraId="670E646A" w14:textId="3FEC3C25" w:rsidR="00B76BB2" w:rsidRPr="000350EF" w:rsidRDefault="00B76BB2" w:rsidP="000350EF">
            <w:pPr>
              <w:spacing w:line="240" w:lineRule="auto"/>
              <w:jc w:val="center"/>
              <w:rPr>
                <w:sz w:val="24"/>
                <w:szCs w:val="24"/>
              </w:rPr>
            </w:pPr>
            <w:r w:rsidRPr="000350EF">
              <w:rPr>
                <w:color w:val="000000" w:themeColor="text1"/>
                <w:sz w:val="24"/>
                <w:szCs w:val="24"/>
              </w:rPr>
              <w:t>a.</w:t>
            </w:r>
          </w:p>
        </w:tc>
        <w:tc>
          <w:tcPr>
            <w:tcW w:w="4253" w:type="dxa"/>
          </w:tcPr>
          <w:p w14:paraId="07BFA54E" w14:textId="5D42CF0F" w:rsidR="00B76BB2" w:rsidRPr="000350EF" w:rsidRDefault="00B76BB2" w:rsidP="000350EF">
            <w:pPr>
              <w:spacing w:line="240" w:lineRule="auto"/>
              <w:ind w:rightChars="80" w:right="176"/>
              <w:jc w:val="left"/>
              <w:rPr>
                <w:sz w:val="24"/>
                <w:szCs w:val="24"/>
              </w:rPr>
            </w:pPr>
            <w:r w:rsidRPr="000350EF">
              <w:rPr>
                <w:sz w:val="24"/>
                <w:szCs w:val="24"/>
              </w:rPr>
              <w:t>Deposit Insurance and Policy Owners' Protection Schemes (Amendment) Bill 2018</w:t>
            </w:r>
          </w:p>
          <w:p w14:paraId="5E3545AD" w14:textId="77777777" w:rsidR="00B76BB2" w:rsidRPr="000350EF" w:rsidRDefault="00B76BB2" w:rsidP="000350EF">
            <w:pPr>
              <w:spacing w:line="240" w:lineRule="auto"/>
              <w:ind w:left="-141" w:rightChars="80" w:right="176"/>
              <w:jc w:val="left"/>
              <w:rPr>
                <w:sz w:val="24"/>
                <w:szCs w:val="24"/>
              </w:rPr>
            </w:pPr>
          </w:p>
        </w:tc>
        <w:tc>
          <w:tcPr>
            <w:tcW w:w="9432" w:type="dxa"/>
          </w:tcPr>
          <w:p w14:paraId="3CBEDB5C" w14:textId="77777777" w:rsidR="00B76BB2" w:rsidRPr="006B098A" w:rsidRDefault="00B76BB2" w:rsidP="000267D2">
            <w:pPr>
              <w:rPr>
                <w:sz w:val="24"/>
                <w:szCs w:val="24"/>
              </w:rPr>
            </w:pPr>
          </w:p>
        </w:tc>
      </w:tr>
      <w:tr w:rsidR="00B76BB2" w:rsidRPr="006B098A" w14:paraId="67597D92" w14:textId="77777777" w:rsidTr="00B76BB2">
        <w:tc>
          <w:tcPr>
            <w:tcW w:w="817" w:type="dxa"/>
          </w:tcPr>
          <w:p w14:paraId="602845C4" w14:textId="64CC2B0F" w:rsidR="00B76BB2" w:rsidRPr="000350EF" w:rsidRDefault="00B76BB2" w:rsidP="000350EF">
            <w:pPr>
              <w:spacing w:after="0" w:line="300" w:lineRule="atLeast"/>
              <w:jc w:val="center"/>
              <w:rPr>
                <w:sz w:val="24"/>
                <w:szCs w:val="24"/>
              </w:rPr>
            </w:pPr>
            <w:r w:rsidRPr="000350EF">
              <w:rPr>
                <w:color w:val="000000" w:themeColor="text1"/>
                <w:sz w:val="24"/>
                <w:szCs w:val="24"/>
              </w:rPr>
              <w:t>b.</w:t>
            </w:r>
          </w:p>
        </w:tc>
        <w:tc>
          <w:tcPr>
            <w:tcW w:w="4253" w:type="dxa"/>
          </w:tcPr>
          <w:p w14:paraId="64B31AB4" w14:textId="2E2F1AEA" w:rsidR="00B76BB2" w:rsidRPr="000350EF" w:rsidRDefault="00B76BB2" w:rsidP="000350EF">
            <w:pPr>
              <w:spacing w:after="0" w:line="300" w:lineRule="atLeast"/>
              <w:ind w:rightChars="80" w:right="176"/>
              <w:jc w:val="left"/>
              <w:rPr>
                <w:rFonts w:eastAsia="MS Mincho"/>
                <w:sz w:val="24"/>
                <w:szCs w:val="24"/>
                <w:lang w:val="en-SG" w:eastAsia="ja-JP"/>
              </w:rPr>
            </w:pPr>
            <w:r w:rsidRPr="000350EF">
              <w:rPr>
                <w:sz w:val="24"/>
                <w:szCs w:val="24"/>
              </w:rPr>
              <w:t>Proposed Guidelines on Individual Accountability and Conduct</w:t>
            </w:r>
          </w:p>
          <w:p w14:paraId="31CFF9EE" w14:textId="77777777" w:rsidR="00B76BB2" w:rsidRPr="000350EF" w:rsidRDefault="00B76BB2" w:rsidP="000350EF">
            <w:pPr>
              <w:pStyle w:val="ListParagraph"/>
              <w:spacing w:after="0" w:line="300" w:lineRule="atLeast"/>
              <w:ind w:left="-141" w:rightChars="80" w:right="176"/>
              <w:rPr>
                <w:rFonts w:ascii="Times New Roman" w:eastAsia="MS Mincho" w:hAnsi="Times New Roman"/>
                <w:kern w:val="0"/>
                <w:szCs w:val="24"/>
                <w:lang w:val="en-SG" w:eastAsia="ja-JP"/>
              </w:rPr>
            </w:pPr>
          </w:p>
          <w:p w14:paraId="46144BF9" w14:textId="77777777" w:rsidR="00B76BB2" w:rsidRPr="000350EF" w:rsidRDefault="00B76BB2" w:rsidP="000350EF">
            <w:pPr>
              <w:pStyle w:val="ListParagraph"/>
              <w:spacing w:after="0" w:line="300" w:lineRule="atLeast"/>
              <w:ind w:left="-141" w:rightChars="80" w:right="176"/>
              <w:rPr>
                <w:rFonts w:ascii="Times New Roman" w:eastAsia="MS Mincho" w:hAnsi="Times New Roman"/>
                <w:kern w:val="0"/>
                <w:szCs w:val="24"/>
                <w:lang w:val="en-SG" w:eastAsia="ja-JP"/>
              </w:rPr>
            </w:pPr>
          </w:p>
        </w:tc>
        <w:tc>
          <w:tcPr>
            <w:tcW w:w="9432" w:type="dxa"/>
          </w:tcPr>
          <w:p w14:paraId="13B379EF" w14:textId="77777777" w:rsidR="00B76BB2" w:rsidRPr="006B098A" w:rsidRDefault="00B76BB2" w:rsidP="000267D2">
            <w:pPr>
              <w:rPr>
                <w:sz w:val="24"/>
                <w:szCs w:val="24"/>
              </w:rPr>
            </w:pPr>
          </w:p>
        </w:tc>
      </w:tr>
    </w:tbl>
    <w:p w14:paraId="606D6A13" w14:textId="77777777" w:rsidR="000350EF" w:rsidRDefault="000350EF"/>
    <w:tbl>
      <w:tblPr>
        <w:tblStyle w:val="TableGrid"/>
        <w:tblW w:w="0" w:type="auto"/>
        <w:tblLook w:val="01E0" w:firstRow="1" w:lastRow="1" w:firstColumn="1" w:lastColumn="1" w:noHBand="0" w:noVBand="0"/>
      </w:tblPr>
      <w:tblGrid>
        <w:gridCol w:w="817"/>
        <w:gridCol w:w="4253"/>
        <w:gridCol w:w="9432"/>
      </w:tblGrid>
      <w:tr w:rsidR="00B76BB2" w:rsidRPr="006B098A" w14:paraId="4CD38BA1" w14:textId="77777777" w:rsidTr="00B76BB2">
        <w:tc>
          <w:tcPr>
            <w:tcW w:w="817" w:type="dxa"/>
          </w:tcPr>
          <w:p w14:paraId="784141ED" w14:textId="71BC2DBC" w:rsidR="00B76BB2" w:rsidRPr="000350EF" w:rsidRDefault="00B76BB2" w:rsidP="00B76BB2">
            <w:pPr>
              <w:jc w:val="center"/>
              <w:rPr>
                <w:b/>
                <w:sz w:val="24"/>
                <w:szCs w:val="24"/>
              </w:rPr>
            </w:pPr>
            <w:r w:rsidRPr="000350EF">
              <w:rPr>
                <w:b/>
                <w:sz w:val="24"/>
                <w:szCs w:val="24"/>
              </w:rPr>
              <w:t>7.</w:t>
            </w:r>
          </w:p>
        </w:tc>
        <w:tc>
          <w:tcPr>
            <w:tcW w:w="4253" w:type="dxa"/>
          </w:tcPr>
          <w:p w14:paraId="6DE82390" w14:textId="04096A57" w:rsidR="00B76BB2" w:rsidRPr="000350EF" w:rsidRDefault="00B76BB2" w:rsidP="00B76BB2">
            <w:pPr>
              <w:rPr>
                <w:b/>
                <w:sz w:val="24"/>
                <w:szCs w:val="24"/>
              </w:rPr>
            </w:pPr>
            <w:r w:rsidRPr="000350EF">
              <w:rPr>
                <w:b/>
                <w:sz w:val="24"/>
                <w:szCs w:val="24"/>
              </w:rPr>
              <w:t xml:space="preserve">SNB initiatives </w:t>
            </w:r>
          </w:p>
          <w:p w14:paraId="7DA92A78" w14:textId="77777777" w:rsidR="00B76BB2" w:rsidRPr="000350EF" w:rsidRDefault="00B76BB2" w:rsidP="00B76BB2">
            <w:pPr>
              <w:ind w:left="-720"/>
              <w:jc w:val="left"/>
              <w:rPr>
                <w:sz w:val="24"/>
                <w:szCs w:val="24"/>
              </w:rPr>
            </w:pPr>
          </w:p>
        </w:tc>
        <w:tc>
          <w:tcPr>
            <w:tcW w:w="9432" w:type="dxa"/>
          </w:tcPr>
          <w:p w14:paraId="5DCF31A8" w14:textId="77777777" w:rsidR="00B76BB2" w:rsidRPr="006B098A" w:rsidRDefault="00B76BB2" w:rsidP="000267D2">
            <w:pPr>
              <w:rPr>
                <w:b/>
                <w:sz w:val="24"/>
                <w:szCs w:val="24"/>
              </w:rPr>
            </w:pPr>
            <w:r w:rsidRPr="006B098A">
              <w:rPr>
                <w:b/>
                <w:sz w:val="24"/>
                <w:szCs w:val="24"/>
              </w:rPr>
              <w:t>Swiss National Bank</w:t>
            </w:r>
          </w:p>
          <w:p w14:paraId="70B0E1CE" w14:textId="77777777" w:rsidR="00B76BB2" w:rsidRPr="006B098A" w:rsidRDefault="00B76BB2" w:rsidP="000267D2">
            <w:pPr>
              <w:rPr>
                <w:sz w:val="24"/>
                <w:szCs w:val="24"/>
              </w:rPr>
            </w:pPr>
            <w:r w:rsidRPr="006B098A">
              <w:rPr>
                <w:color w:val="000000"/>
                <w:sz w:val="24"/>
                <w:szCs w:val="24"/>
              </w:rPr>
              <w:t>Claudio Fäh</w:t>
            </w:r>
          </w:p>
        </w:tc>
      </w:tr>
      <w:tr w:rsidR="00B76BB2" w:rsidRPr="006B098A" w14:paraId="0D2B85C1" w14:textId="77777777" w:rsidTr="00B76BB2">
        <w:tc>
          <w:tcPr>
            <w:tcW w:w="817" w:type="dxa"/>
          </w:tcPr>
          <w:p w14:paraId="44C04D35" w14:textId="461F02B1" w:rsidR="00B76BB2" w:rsidRPr="000350EF" w:rsidRDefault="00B76BB2" w:rsidP="00B76BB2">
            <w:pPr>
              <w:widowControl w:val="0"/>
              <w:spacing w:after="0" w:line="240" w:lineRule="auto"/>
              <w:jc w:val="center"/>
              <w:rPr>
                <w:sz w:val="24"/>
                <w:szCs w:val="24"/>
              </w:rPr>
            </w:pPr>
            <w:r w:rsidRPr="000350EF">
              <w:rPr>
                <w:color w:val="000000" w:themeColor="text1"/>
                <w:sz w:val="24"/>
                <w:szCs w:val="24"/>
              </w:rPr>
              <w:t>a.</w:t>
            </w:r>
          </w:p>
        </w:tc>
        <w:tc>
          <w:tcPr>
            <w:tcW w:w="4253" w:type="dxa"/>
          </w:tcPr>
          <w:p w14:paraId="6AA079A0" w14:textId="7A8B1562" w:rsidR="00B76BB2" w:rsidRPr="000350EF" w:rsidRDefault="00B76BB2" w:rsidP="00B76BB2">
            <w:pPr>
              <w:widowControl w:val="0"/>
              <w:spacing w:after="0" w:line="240" w:lineRule="auto"/>
              <w:ind w:rightChars="80" w:right="176"/>
              <w:rPr>
                <w:sz w:val="24"/>
                <w:szCs w:val="24"/>
              </w:rPr>
            </w:pPr>
            <w:r w:rsidRPr="000350EF">
              <w:rPr>
                <w:sz w:val="24"/>
                <w:szCs w:val="24"/>
              </w:rPr>
              <w:t>Swiss Sovereign Money Initiative (update)</w:t>
            </w:r>
          </w:p>
          <w:p w14:paraId="2966DCAC" w14:textId="77777777" w:rsidR="00B76BB2" w:rsidRPr="000350EF" w:rsidRDefault="00B76BB2" w:rsidP="00B76BB2">
            <w:pPr>
              <w:spacing w:line="240" w:lineRule="auto"/>
              <w:ind w:rightChars="80" w:right="176"/>
              <w:jc w:val="left"/>
              <w:rPr>
                <w:rFonts w:eastAsia="MS Mincho"/>
                <w:sz w:val="24"/>
                <w:szCs w:val="24"/>
                <w:lang w:val="en-US" w:eastAsia="ja-JP"/>
              </w:rPr>
            </w:pPr>
          </w:p>
          <w:p w14:paraId="6A2C7B63" w14:textId="77777777" w:rsidR="00B76BB2" w:rsidRPr="000350EF" w:rsidRDefault="00B76BB2" w:rsidP="00B76BB2">
            <w:pPr>
              <w:spacing w:line="240" w:lineRule="auto"/>
              <w:ind w:rightChars="80" w:right="176"/>
              <w:jc w:val="left"/>
              <w:rPr>
                <w:rFonts w:eastAsia="MS Mincho"/>
                <w:sz w:val="24"/>
                <w:szCs w:val="24"/>
                <w:lang w:eastAsia="ja-JP"/>
              </w:rPr>
            </w:pPr>
          </w:p>
        </w:tc>
        <w:tc>
          <w:tcPr>
            <w:tcW w:w="9432" w:type="dxa"/>
          </w:tcPr>
          <w:p w14:paraId="47867B0D" w14:textId="77777777" w:rsidR="00B76BB2" w:rsidRPr="006B098A" w:rsidRDefault="00B76BB2" w:rsidP="000267D2">
            <w:pPr>
              <w:rPr>
                <w:sz w:val="24"/>
                <w:szCs w:val="24"/>
              </w:rPr>
            </w:pPr>
          </w:p>
        </w:tc>
      </w:tr>
      <w:tr w:rsidR="00B76BB2" w:rsidRPr="006B098A" w14:paraId="7F8EA497" w14:textId="77777777" w:rsidTr="00B76BB2">
        <w:tc>
          <w:tcPr>
            <w:tcW w:w="817" w:type="dxa"/>
          </w:tcPr>
          <w:p w14:paraId="6EFD19BB" w14:textId="2EB7230F" w:rsidR="00B76BB2" w:rsidRPr="000350EF" w:rsidRDefault="00B76BB2" w:rsidP="00B76BB2">
            <w:pPr>
              <w:widowControl w:val="0"/>
              <w:spacing w:after="0" w:line="240" w:lineRule="auto"/>
              <w:jc w:val="center"/>
              <w:rPr>
                <w:sz w:val="24"/>
                <w:szCs w:val="24"/>
              </w:rPr>
            </w:pPr>
            <w:r w:rsidRPr="000350EF">
              <w:rPr>
                <w:color w:val="000000" w:themeColor="text1"/>
                <w:sz w:val="24"/>
                <w:szCs w:val="24"/>
              </w:rPr>
              <w:t>b.</w:t>
            </w:r>
          </w:p>
        </w:tc>
        <w:tc>
          <w:tcPr>
            <w:tcW w:w="4253" w:type="dxa"/>
          </w:tcPr>
          <w:p w14:paraId="59B70365" w14:textId="205EC6CB" w:rsidR="00B76BB2" w:rsidRPr="000350EF" w:rsidRDefault="00B76BB2" w:rsidP="00B76BB2">
            <w:pPr>
              <w:widowControl w:val="0"/>
              <w:spacing w:after="0" w:line="240" w:lineRule="auto"/>
              <w:ind w:rightChars="80" w:right="176"/>
              <w:rPr>
                <w:sz w:val="24"/>
                <w:szCs w:val="24"/>
              </w:rPr>
            </w:pPr>
            <w:r w:rsidRPr="000350EF">
              <w:rPr>
                <w:sz w:val="24"/>
                <w:szCs w:val="24"/>
              </w:rPr>
              <w:t>SNB survey on payment methods</w:t>
            </w:r>
          </w:p>
          <w:p w14:paraId="5D0A2211" w14:textId="77777777" w:rsidR="00B76BB2" w:rsidRPr="000350EF" w:rsidRDefault="00B76BB2" w:rsidP="00B76BB2">
            <w:pPr>
              <w:pStyle w:val="ListParagraph"/>
              <w:widowControl w:val="0"/>
              <w:spacing w:after="0" w:line="240" w:lineRule="auto"/>
              <w:ind w:left="0" w:rightChars="80" w:right="176"/>
              <w:contextualSpacing w:val="0"/>
              <w:rPr>
                <w:rFonts w:ascii="Times New Roman" w:hAnsi="Times New Roman"/>
                <w:szCs w:val="24"/>
                <w:lang w:val="en-GB"/>
              </w:rPr>
            </w:pPr>
          </w:p>
          <w:p w14:paraId="68C9C0FD" w14:textId="77777777" w:rsidR="00B76BB2" w:rsidRPr="000350EF" w:rsidRDefault="00B76BB2" w:rsidP="00B76BB2">
            <w:pPr>
              <w:pStyle w:val="ListParagraph"/>
              <w:widowControl w:val="0"/>
              <w:spacing w:after="0" w:line="240" w:lineRule="auto"/>
              <w:ind w:left="0" w:rightChars="80" w:right="176"/>
              <w:contextualSpacing w:val="0"/>
              <w:rPr>
                <w:rFonts w:ascii="Times New Roman" w:hAnsi="Times New Roman"/>
                <w:szCs w:val="24"/>
                <w:lang w:val="en-GB"/>
              </w:rPr>
            </w:pPr>
          </w:p>
        </w:tc>
        <w:tc>
          <w:tcPr>
            <w:tcW w:w="9432" w:type="dxa"/>
          </w:tcPr>
          <w:p w14:paraId="1EFD8972" w14:textId="77777777" w:rsidR="00B76BB2" w:rsidRPr="006B098A" w:rsidRDefault="00B76BB2" w:rsidP="000267D2">
            <w:pPr>
              <w:rPr>
                <w:sz w:val="24"/>
                <w:szCs w:val="24"/>
              </w:rPr>
            </w:pPr>
          </w:p>
        </w:tc>
      </w:tr>
      <w:tr w:rsidR="00B76BB2" w:rsidRPr="006B098A" w14:paraId="2DD641F0" w14:textId="77777777" w:rsidTr="00B76BB2">
        <w:tc>
          <w:tcPr>
            <w:tcW w:w="817" w:type="dxa"/>
          </w:tcPr>
          <w:p w14:paraId="37BD1772" w14:textId="42C8B95C" w:rsidR="00B76BB2" w:rsidRPr="000350EF" w:rsidRDefault="00B76BB2" w:rsidP="00B76BB2">
            <w:pPr>
              <w:widowControl w:val="0"/>
              <w:spacing w:after="0" w:line="240" w:lineRule="auto"/>
              <w:jc w:val="center"/>
              <w:rPr>
                <w:sz w:val="24"/>
                <w:szCs w:val="24"/>
              </w:rPr>
            </w:pPr>
            <w:r w:rsidRPr="000350EF">
              <w:rPr>
                <w:sz w:val="24"/>
                <w:szCs w:val="24"/>
              </w:rPr>
              <w:t>c.</w:t>
            </w:r>
          </w:p>
        </w:tc>
        <w:tc>
          <w:tcPr>
            <w:tcW w:w="4253" w:type="dxa"/>
          </w:tcPr>
          <w:p w14:paraId="1E4D2E51" w14:textId="7ED11FC7" w:rsidR="00B76BB2" w:rsidRPr="000350EF" w:rsidRDefault="00B76BB2" w:rsidP="00B76BB2">
            <w:pPr>
              <w:widowControl w:val="0"/>
              <w:spacing w:after="0" w:line="240" w:lineRule="auto"/>
              <w:ind w:rightChars="80" w:right="176"/>
              <w:rPr>
                <w:sz w:val="24"/>
                <w:szCs w:val="24"/>
              </w:rPr>
            </w:pPr>
            <w:r w:rsidRPr="000350EF">
              <w:rPr>
                <w:sz w:val="24"/>
                <w:szCs w:val="24"/>
              </w:rPr>
              <w:t>National Working Group on Swiss Franc Reference Rates</w:t>
            </w:r>
          </w:p>
          <w:p w14:paraId="11F69DD7" w14:textId="77777777" w:rsidR="00B76BB2" w:rsidRPr="000350EF" w:rsidRDefault="00B76BB2" w:rsidP="00B76BB2">
            <w:pPr>
              <w:pStyle w:val="ListParagraph"/>
              <w:widowControl w:val="0"/>
              <w:spacing w:after="0" w:line="240" w:lineRule="auto"/>
              <w:ind w:left="0" w:rightChars="80" w:right="176"/>
              <w:contextualSpacing w:val="0"/>
              <w:rPr>
                <w:rFonts w:ascii="Times New Roman" w:hAnsi="Times New Roman"/>
                <w:szCs w:val="24"/>
                <w:lang w:val="en-GB"/>
              </w:rPr>
            </w:pPr>
          </w:p>
          <w:p w14:paraId="3D11EE5D" w14:textId="77777777" w:rsidR="00B76BB2" w:rsidRPr="000350EF" w:rsidRDefault="00B76BB2" w:rsidP="00B76BB2">
            <w:pPr>
              <w:pStyle w:val="ListParagraph"/>
              <w:widowControl w:val="0"/>
              <w:spacing w:after="0" w:line="240" w:lineRule="auto"/>
              <w:ind w:left="0" w:rightChars="80" w:right="176"/>
              <w:contextualSpacing w:val="0"/>
              <w:rPr>
                <w:rFonts w:ascii="Times New Roman" w:hAnsi="Times New Roman"/>
                <w:szCs w:val="24"/>
                <w:lang w:val="en-GB"/>
              </w:rPr>
            </w:pPr>
          </w:p>
        </w:tc>
        <w:tc>
          <w:tcPr>
            <w:tcW w:w="9432" w:type="dxa"/>
          </w:tcPr>
          <w:p w14:paraId="73F23488" w14:textId="77777777" w:rsidR="00B76BB2" w:rsidRPr="006B098A" w:rsidRDefault="00B76BB2" w:rsidP="000267D2">
            <w:pPr>
              <w:rPr>
                <w:sz w:val="24"/>
                <w:szCs w:val="24"/>
              </w:rPr>
            </w:pPr>
          </w:p>
        </w:tc>
      </w:tr>
    </w:tbl>
    <w:p w14:paraId="7240CE13" w14:textId="0A13C527" w:rsidR="007D2338" w:rsidRPr="006B098A" w:rsidRDefault="007D2338" w:rsidP="00830E3E">
      <w:pPr>
        <w:rPr>
          <w:sz w:val="24"/>
          <w:szCs w:val="24"/>
        </w:rPr>
      </w:pPr>
    </w:p>
    <w:sectPr w:rsidR="007D2338" w:rsidRPr="006B098A" w:rsidSect="006D0A69">
      <w:headerReference w:type="default" r:id="rId19"/>
      <w:footerReference w:type="default" r:id="rId20"/>
      <w:pgSz w:w="16838" w:h="11906" w:orient="landscape"/>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998D6" w14:textId="77777777" w:rsidR="0041479F" w:rsidRDefault="0041479F">
      <w:r>
        <w:separator/>
      </w:r>
    </w:p>
  </w:endnote>
  <w:endnote w:type="continuationSeparator" w:id="0">
    <w:p w14:paraId="7DC91AEE" w14:textId="77777777" w:rsidR="0041479F" w:rsidRDefault="0041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NBOfficina Sans Book">
    <w:altName w:val="Times New Roman"/>
    <w:charset w:val="00"/>
    <w:family w:val="auto"/>
    <w:pitch w:val="variable"/>
    <w:sig w:usb0="00000001" w:usb1="00000000" w:usb2="00000000" w:usb3="00000000" w:csb0="00000113"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76012" w14:textId="30F4B96E" w:rsidR="00233F8D" w:rsidRPr="009A2A94" w:rsidRDefault="00233F8D">
    <w:pPr>
      <w:pStyle w:val="Footer"/>
      <w:rPr>
        <w:rFonts w:ascii="Arial" w:hAnsi="Arial" w:cs="Arial"/>
        <w:sz w:val="20"/>
      </w:rPr>
    </w:pPr>
    <w:r w:rsidRPr="009A2A94">
      <w:rPr>
        <w:rFonts w:ascii="Arial" w:hAnsi="Arial" w:cs="Arial"/>
        <w:sz w:val="20"/>
      </w:rPr>
      <w:fldChar w:fldCharType="begin"/>
    </w:r>
    <w:r w:rsidRPr="009A2A94">
      <w:rPr>
        <w:rFonts w:ascii="Arial" w:hAnsi="Arial" w:cs="Arial"/>
        <w:sz w:val="20"/>
        <w:lang w:val="de-CH"/>
      </w:rPr>
      <w:instrText xml:space="preserve"> DATE \@ "dd.MM.yyyy" </w:instrText>
    </w:r>
    <w:r w:rsidRPr="009A2A94">
      <w:rPr>
        <w:rFonts w:ascii="Arial" w:hAnsi="Arial" w:cs="Arial"/>
        <w:sz w:val="20"/>
      </w:rPr>
      <w:fldChar w:fldCharType="separate"/>
    </w:r>
    <w:r w:rsidR="00F81C76">
      <w:rPr>
        <w:rFonts w:ascii="Arial" w:hAnsi="Arial" w:cs="Arial"/>
        <w:noProof/>
        <w:sz w:val="20"/>
        <w:lang w:val="de-CH"/>
      </w:rPr>
      <w:t>20.11.2018</w:t>
    </w:r>
    <w:r w:rsidRPr="009A2A94">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8F416" w14:textId="77777777" w:rsidR="0041479F" w:rsidRDefault="0041479F">
      <w:r>
        <w:separator/>
      </w:r>
    </w:p>
  </w:footnote>
  <w:footnote w:type="continuationSeparator" w:id="0">
    <w:p w14:paraId="32105540" w14:textId="77777777" w:rsidR="0041479F" w:rsidRDefault="00414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58EF9" w14:textId="0527619E" w:rsidR="00233F8D" w:rsidRPr="009A2A94" w:rsidRDefault="00CA1139" w:rsidP="00753A89">
    <w:pPr>
      <w:pStyle w:val="Header"/>
      <w:pBdr>
        <w:bottom w:val="single" w:sz="4" w:space="1" w:color="auto"/>
      </w:pBdr>
      <w:tabs>
        <w:tab w:val="right" w:pos="14220"/>
      </w:tabs>
      <w:rPr>
        <w:rFonts w:ascii="Arial" w:hAnsi="Arial" w:cs="Arial"/>
        <w:sz w:val="20"/>
        <w:lang w:val="de-CH"/>
      </w:rPr>
    </w:pPr>
    <w:r>
      <w:rPr>
        <w:rFonts w:ascii="Arial" w:hAnsi="Arial" w:cs="Arial"/>
        <w:sz w:val="20"/>
        <w:lang w:val="de-CH"/>
      </w:rPr>
      <w:t>Hong Kong Monetary Authority</w:t>
    </w:r>
    <w:r w:rsidR="00233F8D" w:rsidRPr="009A2A94">
      <w:rPr>
        <w:rFonts w:ascii="Arial" w:hAnsi="Arial" w:cs="Arial"/>
        <w:sz w:val="20"/>
        <w:lang w:val="de-CH"/>
      </w:rPr>
      <w:tab/>
    </w:r>
    <w:r w:rsidR="00233F8D" w:rsidRPr="009A2A94">
      <w:rPr>
        <w:rFonts w:ascii="Arial" w:hAnsi="Arial" w:cs="Arial"/>
        <w:sz w:val="20"/>
        <w:lang w:val="de-CH"/>
      </w:rPr>
      <w:tab/>
    </w:r>
    <w:r w:rsidR="00233F8D" w:rsidRPr="009A2A94">
      <w:rPr>
        <w:rFonts w:ascii="Arial" w:hAnsi="Arial" w:cs="Arial"/>
        <w:sz w:val="20"/>
        <w:lang w:val="de-CH"/>
      </w:rPr>
      <w:tab/>
    </w:r>
    <w:r w:rsidR="00233F8D" w:rsidRPr="009A2A94">
      <w:rPr>
        <w:rStyle w:val="PageNumber"/>
        <w:rFonts w:ascii="Arial" w:hAnsi="Arial" w:cs="Arial"/>
        <w:sz w:val="20"/>
      </w:rPr>
      <w:fldChar w:fldCharType="begin"/>
    </w:r>
    <w:r w:rsidR="00233F8D" w:rsidRPr="009A2A94">
      <w:rPr>
        <w:rStyle w:val="PageNumber"/>
        <w:rFonts w:ascii="Arial" w:hAnsi="Arial" w:cs="Arial"/>
        <w:sz w:val="20"/>
      </w:rPr>
      <w:instrText xml:space="preserve"> PAGE </w:instrText>
    </w:r>
    <w:r w:rsidR="00233F8D" w:rsidRPr="009A2A94">
      <w:rPr>
        <w:rStyle w:val="PageNumber"/>
        <w:rFonts w:ascii="Arial" w:hAnsi="Arial" w:cs="Arial"/>
        <w:sz w:val="20"/>
      </w:rPr>
      <w:fldChar w:fldCharType="separate"/>
    </w:r>
    <w:r w:rsidR="00F81C76">
      <w:rPr>
        <w:rStyle w:val="PageNumber"/>
        <w:rFonts w:ascii="Arial" w:hAnsi="Arial" w:cs="Arial"/>
        <w:noProof/>
        <w:sz w:val="20"/>
      </w:rPr>
      <w:t>1</w:t>
    </w:r>
    <w:r w:rsidR="00233F8D" w:rsidRPr="009A2A94">
      <w:rPr>
        <w:rStyle w:val="PageNumber"/>
        <w:rFonts w:ascii="Arial" w:hAnsi="Arial" w:cs="Arial"/>
        <w:sz w:val="20"/>
      </w:rPr>
      <w:fldChar w:fldCharType="end"/>
    </w:r>
    <w:r w:rsidR="00233F8D" w:rsidRPr="009A2A94">
      <w:rPr>
        <w:rStyle w:val="PageNumber"/>
        <w:rFonts w:ascii="Arial" w:hAnsi="Arial" w:cs="Arial"/>
        <w:sz w:val="20"/>
      </w:rPr>
      <w:t>/</w:t>
    </w:r>
    <w:r w:rsidR="00233F8D" w:rsidRPr="009A2A94">
      <w:rPr>
        <w:rStyle w:val="PageNumber"/>
        <w:rFonts w:ascii="Arial" w:hAnsi="Arial" w:cs="Arial"/>
        <w:sz w:val="20"/>
      </w:rPr>
      <w:fldChar w:fldCharType="begin"/>
    </w:r>
    <w:r w:rsidR="00233F8D" w:rsidRPr="009A2A94">
      <w:rPr>
        <w:rStyle w:val="PageNumber"/>
        <w:rFonts w:ascii="Arial" w:hAnsi="Arial" w:cs="Arial"/>
        <w:sz w:val="20"/>
      </w:rPr>
      <w:instrText xml:space="preserve"> NUMPAGES </w:instrText>
    </w:r>
    <w:r w:rsidR="00233F8D" w:rsidRPr="009A2A94">
      <w:rPr>
        <w:rStyle w:val="PageNumber"/>
        <w:rFonts w:ascii="Arial" w:hAnsi="Arial" w:cs="Arial"/>
        <w:sz w:val="20"/>
      </w:rPr>
      <w:fldChar w:fldCharType="separate"/>
    </w:r>
    <w:r w:rsidR="00F81C76">
      <w:rPr>
        <w:rStyle w:val="PageNumber"/>
        <w:rFonts w:ascii="Arial" w:hAnsi="Arial" w:cs="Arial"/>
        <w:noProof/>
        <w:sz w:val="20"/>
      </w:rPr>
      <w:t>5</w:t>
    </w:r>
    <w:r w:rsidR="00233F8D" w:rsidRPr="009A2A94">
      <w:rPr>
        <w:rStyle w:val="PageNumber"/>
        <w:rFonts w:ascii="Arial" w:hAnsi="Arial" w:cs="Arial"/>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E7E"/>
    <w:multiLevelType w:val="hybridMultilevel"/>
    <w:tmpl w:val="EF96DC02"/>
    <w:lvl w:ilvl="0" w:tplc="F97A7FF2">
      <w:start w:val="1"/>
      <w:numFmt w:val="lowerLetter"/>
      <w:lvlText w:val="%1."/>
      <w:lvlJc w:val="left"/>
      <w:pPr>
        <w:ind w:left="360" w:hanging="360"/>
      </w:pPr>
      <w:rPr>
        <w:rFonts w:eastAsia="MS Mincho"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F4487B"/>
    <w:multiLevelType w:val="hybridMultilevel"/>
    <w:tmpl w:val="9A88F6C4"/>
    <w:lvl w:ilvl="0" w:tplc="57F26334">
      <w:start w:val="1"/>
      <w:numFmt w:val="lowerRoman"/>
      <w:lvlText w:val="(%1)"/>
      <w:lvlJc w:val="right"/>
      <w:pPr>
        <w:ind w:left="480" w:hanging="480"/>
      </w:pPr>
      <w:rPr>
        <w:rFonts w:ascii="Times New Roman" w:eastAsiaTheme="minorEastAsia" w:hAnsi="Times New Roman" w:hint="default"/>
        <w:b w:val="0"/>
        <w:i w:val="0"/>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D208EA"/>
    <w:multiLevelType w:val="hybridMultilevel"/>
    <w:tmpl w:val="614CFFE0"/>
    <w:lvl w:ilvl="0" w:tplc="5ED0D7A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0B6CCE"/>
    <w:multiLevelType w:val="hybridMultilevel"/>
    <w:tmpl w:val="C07CF436"/>
    <w:lvl w:ilvl="0" w:tplc="0C9AC792">
      <w:start w:val="1"/>
      <w:numFmt w:val="lowerRoman"/>
      <w:lvlText w:val="(%1)"/>
      <w:lvlJc w:val="left"/>
      <w:pPr>
        <w:ind w:left="859" w:hanging="72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
    <w:nsid w:val="1F37292A"/>
    <w:multiLevelType w:val="hybridMultilevel"/>
    <w:tmpl w:val="812E27E8"/>
    <w:lvl w:ilvl="0" w:tplc="454A7E0A">
      <w:start w:val="1"/>
      <w:numFmt w:val="lowerRoman"/>
      <w:lvlText w:val="(%1)"/>
      <w:lvlJc w:val="right"/>
      <w:pPr>
        <w:ind w:left="360" w:hanging="360"/>
      </w:pPr>
      <w:rPr>
        <w:rFonts w:ascii="Times New Roman" w:eastAsiaTheme="minorEastAsia" w:hAnsi="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B55C9B"/>
    <w:multiLevelType w:val="hybridMultilevel"/>
    <w:tmpl w:val="3356B486"/>
    <w:lvl w:ilvl="0" w:tplc="12A48CDE">
      <w:start w:val="1"/>
      <w:numFmt w:val="lowerRoman"/>
      <w:lvlText w:val="(%1)"/>
      <w:lvlJc w:val="right"/>
      <w:pPr>
        <w:ind w:left="960" w:hanging="480"/>
      </w:pPr>
      <w:rPr>
        <w:rFonts w:ascii="Times New Roman" w:eastAsiaTheme="minorEastAsia" w:hAnsi="Times New Roman" w:hint="default"/>
        <w:b w:val="0"/>
        <w:i w:val="0"/>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7CC5C63"/>
    <w:multiLevelType w:val="hybridMultilevel"/>
    <w:tmpl w:val="2EE45E04"/>
    <w:lvl w:ilvl="0" w:tplc="0C9AC792">
      <w:start w:val="1"/>
      <w:numFmt w:val="lowerRoman"/>
      <w:lvlText w:val="(%1)"/>
      <w:lvlJc w:val="left"/>
      <w:pPr>
        <w:ind w:left="85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B339B8"/>
    <w:multiLevelType w:val="hybridMultilevel"/>
    <w:tmpl w:val="0786F8DA"/>
    <w:lvl w:ilvl="0" w:tplc="F97A7FF2">
      <w:start w:val="1"/>
      <w:numFmt w:val="lowerLetter"/>
      <w:lvlText w:val="%1."/>
      <w:lvlJc w:val="left"/>
      <w:pPr>
        <w:ind w:left="360" w:hanging="360"/>
      </w:pPr>
      <w:rPr>
        <w:rFonts w:eastAsia="MS Mincho"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5CF7A6B"/>
    <w:multiLevelType w:val="hybridMultilevel"/>
    <w:tmpl w:val="575E0B72"/>
    <w:lvl w:ilvl="0" w:tplc="D3CCF638">
      <w:start w:val="1"/>
      <w:numFmt w:val="decimal"/>
      <w:lvlText w:val="%1."/>
      <w:lvlJc w:val="left"/>
      <w:pPr>
        <w:tabs>
          <w:tab w:val="num" w:pos="502"/>
        </w:tabs>
        <w:ind w:left="502" w:hanging="360"/>
      </w:pPr>
      <w:rPr>
        <w:rFonts w:ascii="Times New Roman" w:hAnsi="Times New Roman" w:cs="Times New Roman" w:hint="default"/>
      </w:rPr>
    </w:lvl>
    <w:lvl w:ilvl="1" w:tplc="08090019">
      <w:start w:val="1"/>
      <w:numFmt w:val="lowerLetter"/>
      <w:lvlText w:val="%2."/>
      <w:lvlJc w:val="left"/>
      <w:pPr>
        <w:tabs>
          <w:tab w:val="num" w:pos="1222"/>
        </w:tabs>
        <w:ind w:left="1222" w:hanging="360"/>
      </w:pPr>
    </w:lvl>
    <w:lvl w:ilvl="2" w:tplc="08070001">
      <w:start w:val="1"/>
      <w:numFmt w:val="bullet"/>
      <w:lvlText w:val=""/>
      <w:lvlJc w:val="left"/>
      <w:pPr>
        <w:tabs>
          <w:tab w:val="num" w:pos="2122"/>
        </w:tabs>
        <w:ind w:left="2122" w:hanging="360"/>
      </w:pPr>
      <w:rPr>
        <w:rFonts w:ascii="Symbol" w:hAnsi="Symbol" w:hint="default"/>
      </w:r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9">
    <w:nsid w:val="6635566C"/>
    <w:multiLevelType w:val="hybridMultilevel"/>
    <w:tmpl w:val="933CD910"/>
    <w:lvl w:ilvl="0" w:tplc="DF6E1F14">
      <w:start w:val="1"/>
      <w:numFmt w:val="lowerRoman"/>
      <w:lvlText w:val="(%1)"/>
      <w:lvlJc w:val="right"/>
      <w:pPr>
        <w:ind w:left="360" w:hanging="360"/>
      </w:pPr>
      <w:rPr>
        <w:rFonts w:ascii="Times New Roman" w:eastAsiaTheme="minorEastAsia" w:hAnsi="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67B394C"/>
    <w:multiLevelType w:val="hybridMultilevel"/>
    <w:tmpl w:val="FD5EB40C"/>
    <w:lvl w:ilvl="0" w:tplc="D9CAC2BE">
      <w:start w:val="1"/>
      <w:numFmt w:val="decimal"/>
      <w:lvlText w:val="%1."/>
      <w:lvlJc w:val="left"/>
      <w:pPr>
        <w:ind w:left="360" w:hanging="360"/>
      </w:pPr>
      <w:rPr>
        <w:rFonts w:ascii="Times New Roman" w:eastAsiaTheme="minorEastAsia" w:hAnsi="Times New Roman" w:cs="Times New Roman"/>
      </w:rPr>
    </w:lvl>
    <w:lvl w:ilvl="1" w:tplc="175EE4CA">
      <w:start w:val="1"/>
      <w:numFmt w:val="bullet"/>
      <w:lvlText w:val=""/>
      <w:lvlJc w:val="left"/>
      <w:pPr>
        <w:ind w:left="1080" w:hanging="360"/>
      </w:pPr>
      <w:rPr>
        <w:rFonts w:ascii="Symbol" w:hAnsi="Symbol" w:hint="default"/>
      </w:r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11">
    <w:nsid w:val="6C386A12"/>
    <w:multiLevelType w:val="hybridMultilevel"/>
    <w:tmpl w:val="2ABA78B4"/>
    <w:lvl w:ilvl="0" w:tplc="F97A7FF2">
      <w:start w:val="1"/>
      <w:numFmt w:val="lowerLetter"/>
      <w:lvlText w:val="%1."/>
      <w:lvlJc w:val="left"/>
      <w:pPr>
        <w:ind w:left="360" w:hanging="360"/>
      </w:pPr>
      <w:rPr>
        <w:rFonts w:eastAsia="MS Mincho"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94D4855"/>
    <w:multiLevelType w:val="hybridMultilevel"/>
    <w:tmpl w:val="E8C6B702"/>
    <w:lvl w:ilvl="0" w:tplc="6676137C">
      <w:start w:val="1"/>
      <w:numFmt w:val="lowerRoman"/>
      <w:lvlText w:val="(%1)"/>
      <w:lvlJc w:val="right"/>
      <w:pPr>
        <w:ind w:left="960" w:hanging="480"/>
      </w:pPr>
      <w:rPr>
        <w:rFonts w:ascii="Times New Roman" w:eastAsiaTheme="minorEastAsia" w:hAnsi="Times New Roman" w:hint="default"/>
        <w:b w:val="0"/>
        <w:i w:val="0"/>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10"/>
  </w:num>
  <w:num w:numId="3">
    <w:abstractNumId w:val="9"/>
  </w:num>
  <w:num w:numId="4">
    <w:abstractNumId w:val="4"/>
  </w:num>
  <w:num w:numId="5">
    <w:abstractNumId w:val="12"/>
  </w:num>
  <w:num w:numId="6">
    <w:abstractNumId w:val="1"/>
  </w:num>
  <w:num w:numId="7">
    <w:abstractNumId w:val="5"/>
  </w:num>
  <w:num w:numId="8">
    <w:abstractNumId w:val="3"/>
  </w:num>
  <w:num w:numId="9">
    <w:abstractNumId w:val="6"/>
  </w:num>
  <w:num w:numId="10">
    <w:abstractNumId w:val="2"/>
  </w:num>
  <w:num w:numId="11">
    <w:abstractNumId w:val="0"/>
  </w:num>
  <w:num w:numId="12">
    <w:abstractNumId w:val="7"/>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38"/>
    <w:rsid w:val="00015C6F"/>
    <w:rsid w:val="00034024"/>
    <w:rsid w:val="000350EF"/>
    <w:rsid w:val="00075A3E"/>
    <w:rsid w:val="000801E3"/>
    <w:rsid w:val="00080DF3"/>
    <w:rsid w:val="00081D84"/>
    <w:rsid w:val="00087A37"/>
    <w:rsid w:val="000B1BA7"/>
    <w:rsid w:val="000B469F"/>
    <w:rsid w:val="000C7ECF"/>
    <w:rsid w:val="000D1B48"/>
    <w:rsid w:val="000E414B"/>
    <w:rsid w:val="000E7C16"/>
    <w:rsid w:val="000F152D"/>
    <w:rsid w:val="000F1D83"/>
    <w:rsid w:val="000F4697"/>
    <w:rsid w:val="00105B0F"/>
    <w:rsid w:val="00107CB9"/>
    <w:rsid w:val="00117548"/>
    <w:rsid w:val="001302E8"/>
    <w:rsid w:val="0013661F"/>
    <w:rsid w:val="00136741"/>
    <w:rsid w:val="00146AA2"/>
    <w:rsid w:val="00146DA7"/>
    <w:rsid w:val="001564D9"/>
    <w:rsid w:val="00185731"/>
    <w:rsid w:val="001B2EEF"/>
    <w:rsid w:val="001B3355"/>
    <w:rsid w:val="001B3701"/>
    <w:rsid w:val="001B51A6"/>
    <w:rsid w:val="001C724C"/>
    <w:rsid w:val="001D75CD"/>
    <w:rsid w:val="001E3ED2"/>
    <w:rsid w:val="001E43A3"/>
    <w:rsid w:val="001F715C"/>
    <w:rsid w:val="00212A17"/>
    <w:rsid w:val="00216CF5"/>
    <w:rsid w:val="002205BD"/>
    <w:rsid w:val="00222DE4"/>
    <w:rsid w:val="00225747"/>
    <w:rsid w:val="00226903"/>
    <w:rsid w:val="00233F8D"/>
    <w:rsid w:val="00236742"/>
    <w:rsid w:val="00261F52"/>
    <w:rsid w:val="00263651"/>
    <w:rsid w:val="002C2CCD"/>
    <w:rsid w:val="002D5424"/>
    <w:rsid w:val="002E32EE"/>
    <w:rsid w:val="002F2EC2"/>
    <w:rsid w:val="002F6C8C"/>
    <w:rsid w:val="002F6CB1"/>
    <w:rsid w:val="00303A46"/>
    <w:rsid w:val="00307DFB"/>
    <w:rsid w:val="00307E5B"/>
    <w:rsid w:val="00311FB6"/>
    <w:rsid w:val="00323807"/>
    <w:rsid w:val="0034604B"/>
    <w:rsid w:val="00374531"/>
    <w:rsid w:val="003746CC"/>
    <w:rsid w:val="003823C1"/>
    <w:rsid w:val="00393FE5"/>
    <w:rsid w:val="00394434"/>
    <w:rsid w:val="003944C0"/>
    <w:rsid w:val="003A35D5"/>
    <w:rsid w:val="003B0392"/>
    <w:rsid w:val="003B6D53"/>
    <w:rsid w:val="003C45C8"/>
    <w:rsid w:val="003F7ACE"/>
    <w:rsid w:val="00402ACF"/>
    <w:rsid w:val="00407D97"/>
    <w:rsid w:val="00412C4C"/>
    <w:rsid w:val="0041479F"/>
    <w:rsid w:val="00423999"/>
    <w:rsid w:val="0045482C"/>
    <w:rsid w:val="00482BBA"/>
    <w:rsid w:val="004D232B"/>
    <w:rsid w:val="004D4149"/>
    <w:rsid w:val="004E3B25"/>
    <w:rsid w:val="004F216F"/>
    <w:rsid w:val="004F3AA9"/>
    <w:rsid w:val="00501055"/>
    <w:rsid w:val="005050DD"/>
    <w:rsid w:val="0050664D"/>
    <w:rsid w:val="00510FC6"/>
    <w:rsid w:val="00520886"/>
    <w:rsid w:val="00527094"/>
    <w:rsid w:val="00533C58"/>
    <w:rsid w:val="0054650B"/>
    <w:rsid w:val="00552B4C"/>
    <w:rsid w:val="00591911"/>
    <w:rsid w:val="00597D27"/>
    <w:rsid w:val="005A3C24"/>
    <w:rsid w:val="005C5E34"/>
    <w:rsid w:val="005D5BB1"/>
    <w:rsid w:val="005E43CF"/>
    <w:rsid w:val="00612A29"/>
    <w:rsid w:val="00612B87"/>
    <w:rsid w:val="006306CF"/>
    <w:rsid w:val="00660B4E"/>
    <w:rsid w:val="00670A50"/>
    <w:rsid w:val="00675EB0"/>
    <w:rsid w:val="0069497C"/>
    <w:rsid w:val="006A622C"/>
    <w:rsid w:val="006A6D6B"/>
    <w:rsid w:val="006B098A"/>
    <w:rsid w:val="006B56D2"/>
    <w:rsid w:val="006D0A69"/>
    <w:rsid w:val="006D7762"/>
    <w:rsid w:val="006F1F56"/>
    <w:rsid w:val="006F3312"/>
    <w:rsid w:val="007013F1"/>
    <w:rsid w:val="007129F9"/>
    <w:rsid w:val="0072575D"/>
    <w:rsid w:val="00727590"/>
    <w:rsid w:val="007339B1"/>
    <w:rsid w:val="00743867"/>
    <w:rsid w:val="007455B2"/>
    <w:rsid w:val="00753A89"/>
    <w:rsid w:val="00770EA3"/>
    <w:rsid w:val="00772F99"/>
    <w:rsid w:val="007764D8"/>
    <w:rsid w:val="00780FE6"/>
    <w:rsid w:val="00785E53"/>
    <w:rsid w:val="00792624"/>
    <w:rsid w:val="007932FF"/>
    <w:rsid w:val="00793AAE"/>
    <w:rsid w:val="007941D6"/>
    <w:rsid w:val="007B70D3"/>
    <w:rsid w:val="007C3453"/>
    <w:rsid w:val="007D2338"/>
    <w:rsid w:val="007D477F"/>
    <w:rsid w:val="007D580D"/>
    <w:rsid w:val="0081294C"/>
    <w:rsid w:val="00830E3E"/>
    <w:rsid w:val="008373D0"/>
    <w:rsid w:val="0084760A"/>
    <w:rsid w:val="0085343D"/>
    <w:rsid w:val="0085693D"/>
    <w:rsid w:val="00866F0D"/>
    <w:rsid w:val="008B2A3C"/>
    <w:rsid w:val="008B302B"/>
    <w:rsid w:val="008B77FF"/>
    <w:rsid w:val="008C36E0"/>
    <w:rsid w:val="008C66D8"/>
    <w:rsid w:val="008C6C17"/>
    <w:rsid w:val="008D6BA7"/>
    <w:rsid w:val="008E3F3C"/>
    <w:rsid w:val="008E62D6"/>
    <w:rsid w:val="008F2C2E"/>
    <w:rsid w:val="008F31B8"/>
    <w:rsid w:val="008F7F0C"/>
    <w:rsid w:val="00917C31"/>
    <w:rsid w:val="00945126"/>
    <w:rsid w:val="00960CC5"/>
    <w:rsid w:val="009635A4"/>
    <w:rsid w:val="009639B2"/>
    <w:rsid w:val="00982412"/>
    <w:rsid w:val="009864DC"/>
    <w:rsid w:val="00993BA3"/>
    <w:rsid w:val="00993EC9"/>
    <w:rsid w:val="009A2A94"/>
    <w:rsid w:val="009A4EBF"/>
    <w:rsid w:val="009B5E9C"/>
    <w:rsid w:val="009C4684"/>
    <w:rsid w:val="009C69BC"/>
    <w:rsid w:val="009C71C5"/>
    <w:rsid w:val="009D687E"/>
    <w:rsid w:val="009D7E60"/>
    <w:rsid w:val="00A001EA"/>
    <w:rsid w:val="00A003F5"/>
    <w:rsid w:val="00A25643"/>
    <w:rsid w:val="00A31E3D"/>
    <w:rsid w:val="00A53976"/>
    <w:rsid w:val="00A60E5F"/>
    <w:rsid w:val="00A931BC"/>
    <w:rsid w:val="00A96080"/>
    <w:rsid w:val="00A961D4"/>
    <w:rsid w:val="00AA30CC"/>
    <w:rsid w:val="00AA6D01"/>
    <w:rsid w:val="00AA6F60"/>
    <w:rsid w:val="00AB0AEB"/>
    <w:rsid w:val="00AC262E"/>
    <w:rsid w:val="00AF35B9"/>
    <w:rsid w:val="00B00652"/>
    <w:rsid w:val="00B02A3F"/>
    <w:rsid w:val="00B20B63"/>
    <w:rsid w:val="00B41DBD"/>
    <w:rsid w:val="00B57533"/>
    <w:rsid w:val="00B70AA6"/>
    <w:rsid w:val="00B71724"/>
    <w:rsid w:val="00B76BB2"/>
    <w:rsid w:val="00B9458D"/>
    <w:rsid w:val="00B95615"/>
    <w:rsid w:val="00B95D6D"/>
    <w:rsid w:val="00B97853"/>
    <w:rsid w:val="00BC226C"/>
    <w:rsid w:val="00BF1A99"/>
    <w:rsid w:val="00C14283"/>
    <w:rsid w:val="00C51BCB"/>
    <w:rsid w:val="00C57588"/>
    <w:rsid w:val="00C77A40"/>
    <w:rsid w:val="00C81A3A"/>
    <w:rsid w:val="00C92F79"/>
    <w:rsid w:val="00CA1139"/>
    <w:rsid w:val="00CB55E6"/>
    <w:rsid w:val="00CC2CE6"/>
    <w:rsid w:val="00D02C0E"/>
    <w:rsid w:val="00D10056"/>
    <w:rsid w:val="00D112B7"/>
    <w:rsid w:val="00D274CF"/>
    <w:rsid w:val="00D27845"/>
    <w:rsid w:val="00D339CE"/>
    <w:rsid w:val="00D33FB5"/>
    <w:rsid w:val="00D61205"/>
    <w:rsid w:val="00D6137F"/>
    <w:rsid w:val="00D82170"/>
    <w:rsid w:val="00D933C2"/>
    <w:rsid w:val="00DC78A5"/>
    <w:rsid w:val="00DD2154"/>
    <w:rsid w:val="00DF71A7"/>
    <w:rsid w:val="00E61CEB"/>
    <w:rsid w:val="00E652FD"/>
    <w:rsid w:val="00E71959"/>
    <w:rsid w:val="00E84C3E"/>
    <w:rsid w:val="00E852ED"/>
    <w:rsid w:val="00E864DF"/>
    <w:rsid w:val="00EB4218"/>
    <w:rsid w:val="00EB4C1F"/>
    <w:rsid w:val="00ED5352"/>
    <w:rsid w:val="00EF4030"/>
    <w:rsid w:val="00F00C04"/>
    <w:rsid w:val="00F020EC"/>
    <w:rsid w:val="00F4288D"/>
    <w:rsid w:val="00F476B5"/>
    <w:rsid w:val="00F6015F"/>
    <w:rsid w:val="00F706B9"/>
    <w:rsid w:val="00F81C76"/>
    <w:rsid w:val="00F95519"/>
    <w:rsid w:val="00F95B13"/>
    <w:rsid w:val="00F965BC"/>
    <w:rsid w:val="00FA7F03"/>
    <w:rsid w:val="00FC0494"/>
    <w:rsid w:val="00FC7227"/>
    <w:rsid w:val="00FE18D5"/>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2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338"/>
    <w:pPr>
      <w:tabs>
        <w:tab w:val="left" w:pos="851"/>
        <w:tab w:val="right" w:pos="9356"/>
      </w:tabs>
      <w:spacing w:before="60" w:after="60" w:line="360" w:lineRule="atLeast"/>
      <w:jc w:val="both"/>
    </w:pPr>
    <w:rPr>
      <w:sz w:val="22"/>
      <w:lang w:val="en-GB" w:eastAsia="en-GB"/>
    </w:rPr>
  </w:style>
  <w:style w:type="paragraph" w:styleId="Heading1">
    <w:name w:val="heading 1"/>
    <w:basedOn w:val="Normal"/>
    <w:next w:val="Normal"/>
    <w:qFormat/>
    <w:rsid w:val="00C51BCB"/>
    <w:pPr>
      <w:keepNext/>
      <w:spacing w:before="240"/>
      <w:outlineLvl w:val="0"/>
    </w:pPr>
    <w:rPr>
      <w:rFonts w:ascii="SNBOfficina Sans Book" w:hAnsi="SNBOfficina Sans Book" w:cs="Arial"/>
      <w:b/>
      <w:bCs/>
      <w:kern w:val="32"/>
      <w:sz w:val="32"/>
      <w:szCs w:val="32"/>
    </w:rPr>
  </w:style>
  <w:style w:type="paragraph" w:styleId="Heading2">
    <w:name w:val="heading 2"/>
    <w:basedOn w:val="Heading1"/>
    <w:next w:val="Normal"/>
    <w:qFormat/>
    <w:rsid w:val="00C51BCB"/>
    <w:pPr>
      <w:outlineLvl w:val="1"/>
    </w:pPr>
    <w:rPr>
      <w:bCs w:val="0"/>
      <w:iCs/>
      <w:szCs w:val="28"/>
    </w:rPr>
  </w:style>
  <w:style w:type="paragraph" w:styleId="Heading3">
    <w:name w:val="heading 3"/>
    <w:basedOn w:val="Heading1"/>
    <w:next w:val="Normal"/>
    <w:qFormat/>
    <w:rsid w:val="00C51BCB"/>
    <w:pPr>
      <w:outlineLvl w:val="2"/>
    </w:pPr>
    <w:rPr>
      <w:b w:val="0"/>
      <w:bCs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autoRedefine/>
    <w:rsid w:val="00D274CF"/>
    <w:pPr>
      <w:spacing w:line="360" w:lineRule="auto"/>
    </w:pPr>
    <w:rPr>
      <w:rFonts w:ascii="Courier New" w:hAnsi="Courier New"/>
      <w:sz w:val="20"/>
    </w:rPr>
  </w:style>
  <w:style w:type="paragraph" w:customStyle="1" w:styleId="StandardSNBOfficinaSansBook">
    <w:name w:val="Standard + SNBOfficina Sans Book"/>
    <w:aliases w:val="Block"/>
    <w:basedOn w:val="Normal"/>
    <w:autoRedefine/>
    <w:rsid w:val="008E3F3C"/>
    <w:rPr>
      <w:rFonts w:ascii="SNBOfficina Sans Book" w:hAnsi="SNBOfficina Sans Book"/>
    </w:rPr>
  </w:style>
  <w:style w:type="table" w:styleId="TableGrid">
    <w:name w:val="Table Grid"/>
    <w:basedOn w:val="TableNormal"/>
    <w:rsid w:val="007D2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53A89"/>
    <w:pPr>
      <w:tabs>
        <w:tab w:val="clear" w:pos="851"/>
        <w:tab w:val="clear" w:pos="9356"/>
        <w:tab w:val="center" w:pos="4536"/>
        <w:tab w:val="right" w:pos="9072"/>
      </w:tabs>
    </w:pPr>
  </w:style>
  <w:style w:type="paragraph" w:styleId="Footer">
    <w:name w:val="footer"/>
    <w:basedOn w:val="Normal"/>
    <w:rsid w:val="00753A89"/>
    <w:pPr>
      <w:tabs>
        <w:tab w:val="clear" w:pos="851"/>
        <w:tab w:val="clear" w:pos="9356"/>
        <w:tab w:val="center" w:pos="4536"/>
        <w:tab w:val="right" w:pos="9072"/>
      </w:tabs>
    </w:pPr>
  </w:style>
  <w:style w:type="character" w:styleId="PageNumber">
    <w:name w:val="page number"/>
    <w:basedOn w:val="DefaultParagraphFont"/>
    <w:rsid w:val="00753A89"/>
  </w:style>
  <w:style w:type="character" w:styleId="Hyperlink">
    <w:name w:val="Hyperlink"/>
    <w:basedOn w:val="DefaultParagraphFont"/>
    <w:rsid w:val="00F4288D"/>
    <w:rPr>
      <w:color w:val="0000FF"/>
      <w:u w:val="single"/>
    </w:rPr>
  </w:style>
  <w:style w:type="paragraph" w:styleId="BalloonText">
    <w:name w:val="Balloon Text"/>
    <w:basedOn w:val="Normal"/>
    <w:semiHidden/>
    <w:rsid w:val="00C77A40"/>
    <w:rPr>
      <w:rFonts w:ascii="Tahoma" w:hAnsi="Tahoma" w:cs="Tahoma"/>
      <w:sz w:val="16"/>
      <w:szCs w:val="16"/>
    </w:rPr>
  </w:style>
  <w:style w:type="paragraph" w:styleId="ListParagraph">
    <w:name w:val="List Paragraph"/>
    <w:basedOn w:val="Normal"/>
    <w:uiPriority w:val="34"/>
    <w:qFormat/>
    <w:rsid w:val="006D0A69"/>
    <w:pPr>
      <w:tabs>
        <w:tab w:val="clear" w:pos="851"/>
        <w:tab w:val="clear" w:pos="9356"/>
      </w:tabs>
      <w:spacing w:before="0" w:after="200" w:line="276" w:lineRule="auto"/>
      <w:ind w:left="720"/>
      <w:contextualSpacing/>
      <w:jc w:val="left"/>
    </w:pPr>
    <w:rPr>
      <w:rFonts w:ascii="Calibri" w:eastAsia="Calibri" w:hAnsi="Calibri"/>
      <w:kern w:val="144"/>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338"/>
    <w:pPr>
      <w:tabs>
        <w:tab w:val="left" w:pos="851"/>
        <w:tab w:val="right" w:pos="9356"/>
      </w:tabs>
      <w:spacing w:before="60" w:after="60" w:line="360" w:lineRule="atLeast"/>
      <w:jc w:val="both"/>
    </w:pPr>
    <w:rPr>
      <w:sz w:val="22"/>
      <w:lang w:val="en-GB" w:eastAsia="en-GB"/>
    </w:rPr>
  </w:style>
  <w:style w:type="paragraph" w:styleId="Heading1">
    <w:name w:val="heading 1"/>
    <w:basedOn w:val="Normal"/>
    <w:next w:val="Normal"/>
    <w:qFormat/>
    <w:rsid w:val="00C51BCB"/>
    <w:pPr>
      <w:keepNext/>
      <w:spacing w:before="240"/>
      <w:outlineLvl w:val="0"/>
    </w:pPr>
    <w:rPr>
      <w:rFonts w:ascii="SNBOfficina Sans Book" w:hAnsi="SNBOfficina Sans Book" w:cs="Arial"/>
      <w:b/>
      <w:bCs/>
      <w:kern w:val="32"/>
      <w:sz w:val="32"/>
      <w:szCs w:val="32"/>
    </w:rPr>
  </w:style>
  <w:style w:type="paragraph" w:styleId="Heading2">
    <w:name w:val="heading 2"/>
    <w:basedOn w:val="Heading1"/>
    <w:next w:val="Normal"/>
    <w:qFormat/>
    <w:rsid w:val="00C51BCB"/>
    <w:pPr>
      <w:outlineLvl w:val="1"/>
    </w:pPr>
    <w:rPr>
      <w:bCs w:val="0"/>
      <w:iCs/>
      <w:szCs w:val="28"/>
    </w:rPr>
  </w:style>
  <w:style w:type="paragraph" w:styleId="Heading3">
    <w:name w:val="heading 3"/>
    <w:basedOn w:val="Heading1"/>
    <w:next w:val="Normal"/>
    <w:qFormat/>
    <w:rsid w:val="00C51BCB"/>
    <w:pPr>
      <w:outlineLvl w:val="2"/>
    </w:pPr>
    <w:rPr>
      <w:b w:val="0"/>
      <w:bCs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autoRedefine/>
    <w:rsid w:val="00D274CF"/>
    <w:pPr>
      <w:spacing w:line="360" w:lineRule="auto"/>
    </w:pPr>
    <w:rPr>
      <w:rFonts w:ascii="Courier New" w:hAnsi="Courier New"/>
      <w:sz w:val="20"/>
    </w:rPr>
  </w:style>
  <w:style w:type="paragraph" w:customStyle="1" w:styleId="StandardSNBOfficinaSansBook">
    <w:name w:val="Standard + SNBOfficina Sans Book"/>
    <w:aliases w:val="Block"/>
    <w:basedOn w:val="Normal"/>
    <w:autoRedefine/>
    <w:rsid w:val="008E3F3C"/>
    <w:rPr>
      <w:rFonts w:ascii="SNBOfficina Sans Book" w:hAnsi="SNBOfficina Sans Book"/>
    </w:rPr>
  </w:style>
  <w:style w:type="table" w:styleId="TableGrid">
    <w:name w:val="Table Grid"/>
    <w:basedOn w:val="TableNormal"/>
    <w:rsid w:val="007D2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53A89"/>
    <w:pPr>
      <w:tabs>
        <w:tab w:val="clear" w:pos="851"/>
        <w:tab w:val="clear" w:pos="9356"/>
        <w:tab w:val="center" w:pos="4536"/>
        <w:tab w:val="right" w:pos="9072"/>
      </w:tabs>
    </w:pPr>
  </w:style>
  <w:style w:type="paragraph" w:styleId="Footer">
    <w:name w:val="footer"/>
    <w:basedOn w:val="Normal"/>
    <w:rsid w:val="00753A89"/>
    <w:pPr>
      <w:tabs>
        <w:tab w:val="clear" w:pos="851"/>
        <w:tab w:val="clear" w:pos="9356"/>
        <w:tab w:val="center" w:pos="4536"/>
        <w:tab w:val="right" w:pos="9072"/>
      </w:tabs>
    </w:pPr>
  </w:style>
  <w:style w:type="character" w:styleId="PageNumber">
    <w:name w:val="page number"/>
    <w:basedOn w:val="DefaultParagraphFont"/>
    <w:rsid w:val="00753A89"/>
  </w:style>
  <w:style w:type="character" w:styleId="Hyperlink">
    <w:name w:val="Hyperlink"/>
    <w:basedOn w:val="DefaultParagraphFont"/>
    <w:rsid w:val="00F4288D"/>
    <w:rPr>
      <w:color w:val="0000FF"/>
      <w:u w:val="single"/>
    </w:rPr>
  </w:style>
  <w:style w:type="paragraph" w:styleId="BalloonText">
    <w:name w:val="Balloon Text"/>
    <w:basedOn w:val="Normal"/>
    <w:semiHidden/>
    <w:rsid w:val="00C77A40"/>
    <w:rPr>
      <w:rFonts w:ascii="Tahoma" w:hAnsi="Tahoma" w:cs="Tahoma"/>
      <w:sz w:val="16"/>
      <w:szCs w:val="16"/>
    </w:rPr>
  </w:style>
  <w:style w:type="paragraph" w:styleId="ListParagraph">
    <w:name w:val="List Paragraph"/>
    <w:basedOn w:val="Normal"/>
    <w:uiPriority w:val="34"/>
    <w:qFormat/>
    <w:rsid w:val="006D0A69"/>
    <w:pPr>
      <w:tabs>
        <w:tab w:val="clear" w:pos="851"/>
        <w:tab w:val="clear" w:pos="9356"/>
      </w:tabs>
      <w:spacing w:before="0" w:after="200" w:line="276" w:lineRule="auto"/>
      <w:ind w:left="720"/>
      <w:contextualSpacing/>
      <w:jc w:val="left"/>
    </w:pPr>
    <w:rPr>
      <w:rFonts w:ascii="Calibri" w:eastAsia="Calibri" w:hAnsi="Calibri"/>
      <w:kern w:val="144"/>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eur-lex.europa.eu/legal-content/EN/TXT/?qid=1533849072786&amp;uri=CELEX:01996R2271-20140220" TargetMode="External"/><Relationship Id="rId18" Type="http://schemas.openxmlformats.org/officeDocument/2006/relationships/hyperlink" Target="https://oeilm.secure.europarl.europa.eu/oeil-mobile/fiche-procedure/2015/0270(COD)?lang=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ec.europa.eu/info/publications/180314-proposal-non-performing-loans_en" TargetMode="External"/><Relationship Id="rId2" Type="http://schemas.openxmlformats.org/officeDocument/2006/relationships/customXml" Target="../customXml/item2.xml"/><Relationship Id="rId16" Type="http://schemas.openxmlformats.org/officeDocument/2006/relationships/hyperlink" Target="http://europa.eu/rapid/press-release_IP-16-3731_en.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ec.europa.eu/finance/docs/law/171011-communication-banking-union_en.pdf"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lex.europa.eu/legal-content/EN/TXT/PDF/?uri=CELEX:52015PC0586&amp;from=EN"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NB Document DOX" ma:contentTypeID="0x010100593093B082FB11DC83140800200C9A660100456322F8B4A1594D89EAF2E172369B23" ma:contentTypeVersion="1" ma:contentTypeDescription="Dieser Content Type basiert auf dem Nukleus und definiert den Content Type für die Dox-Bibliothek" ma:contentTypeScope="" ma:versionID="7d04426cae861b56e9130ca0ed5f63a1">
  <xsd:schema xmlns:xsd="http://www.w3.org/2001/XMLSchema" xmlns:xs="http://www.w3.org/2001/XMLSchema" xmlns:p="http://schemas.microsoft.com/office/2006/metadata/properties" xmlns:ns1="http://schemas.microsoft.com/sharepoint/v3" xmlns:ns2="http://schemas.microsoft.com/sharepoint/v3/fields" xmlns:ns4="2c124adb-d4cf-47d5-972a-95dc00093d90" targetNamespace="http://schemas.microsoft.com/office/2006/metadata/properties" ma:root="true" ma:fieldsID="204dee2e34ee9588fb4045a4e08e79e0" ns1:_="" ns2:_="" ns4:_="">
    <xsd:import namespace="http://schemas.microsoft.com/sharepoint/v3"/>
    <xsd:import namespace="http://schemas.microsoft.com/sharepoint/v3/fields"/>
    <xsd:import namespace="2c124adb-d4cf-47d5-972a-95dc00093d90"/>
    <xsd:element name="properties">
      <xsd:complexType>
        <xsd:sequence>
          <xsd:element name="documentManagement">
            <xsd:complexType>
              <xsd:all>
                <xsd:element ref="ns1:SNBDescription" minOccurs="0"/>
                <xsd:element ref="ns1:SNBAuthor" minOccurs="0"/>
                <xsd:element ref="ns2:SNBDate" minOccurs="0"/>
                <xsd:element ref="ns1:Confidentiality" minOccurs="0"/>
                <xsd:element ref="ns1:SNBSubject" minOccurs="0"/>
                <xsd:element ref="ns1:SNBDetailsubject" minOccurs="0"/>
                <xsd:element ref="ns1:SNBContext" minOccurs="0"/>
                <xsd:element ref="ns4:Documenttype" minOccurs="0"/>
                <xsd:element ref="ns4:Dokumenta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NBDescription" ma:index="8" nillable="true" ma:displayName="SNBDescription" ma:description="Kurze Zusammenfassung des Inhalts." ma:internalName="SNBDescription">
      <xsd:simpleType>
        <xsd:restriction base="dms:Note">
          <xsd:maxLength value="255"/>
        </xsd:restriction>
      </xsd:simpleType>
    </xsd:element>
    <xsd:element name="SNBAuthor" ma:index="9" nillable="true" ma:displayName="SNBAuthor" ma:description="Für den Inhalt verantwortliche(n) Person(en), Vorname Nachname ausgeschrieben." ma:internalName="SNBAuthor">
      <xsd:simpleType>
        <xsd:restriction base="dms:Text"/>
      </xsd:simpleType>
    </xsd:element>
    <xsd:element name="Confidentiality" ma:index="12" nillable="true" ma:displayName="Confidentiality" ma:default="2-internal" ma:description="Klassifizierung gemäss gültiger Weisung." ma:internalName="Confidentiality">
      <xsd:simpleType>
        <xsd:restriction base="dms:Choice">
          <xsd:enumeration value="1-public"/>
          <xsd:enumeration value="2-internal"/>
          <xsd:enumeration value="3-confidential"/>
          <xsd:enumeration value="4-secret"/>
        </xsd:restriction>
      </xsd:simpleType>
    </xsd:element>
    <xsd:element name="SNBSubject" ma:index="13" nillable="true" ma:displayName="SNBSubject" ma:default="(none)" ma:internalName="SNBSubject">
      <xsd:simpleType>
        <xsd:restriction base="dms:Choice">
          <xsd:enumeration value="(none)"/>
        </xsd:restriction>
      </xsd:simpleType>
    </xsd:element>
    <xsd:element name="SNBDetailsubject" ma:index="14" nillable="true" ma:displayName="SNBDetailsubject" ma:default="(none)" ma:internalName="SNBDetailsubject">
      <xsd:simpleType>
        <xsd:restriction base="dms:Choice">
          <xsd:enumeration value="(none)"/>
        </xsd:restriction>
      </xsd:simpleType>
    </xsd:element>
    <xsd:element name="SNBContext" ma:index="15" nillable="true" ma:displayName="SNBContext" ma:description="Zu  welchem Kontext (Projekt, Geschäft, usw.) gehört das Dokument." ma:internalName="SNBContex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SNBDate" ma:index="10" nillable="true" ma:displayName="SNBDate" ma:default="[today]" ma:description="Für das Dokument relevantes Datum (z.B. Datum der Veröffentlichung, des Briefversands, usw.)." ma:format="DateOnly" ma:internalName="SNB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c124adb-d4cf-47d5-972a-95dc00093d90" elementFormDefault="qualified">
    <xsd:import namespace="http://schemas.microsoft.com/office/2006/documentManagement/types"/>
    <xsd:import namespace="http://schemas.microsoft.com/office/infopath/2007/PartnerControls"/>
    <xsd:element name="Documenttype" ma:index="16" nillable="true" ma:displayName="Documenttype" ma:default="(none)" ma:format="Dropdown" ma:internalName="Documenttype">
      <xsd:simpleType>
        <xsd:restriction base="dms:Choice">
          <xsd:enumeration value="(none)"/>
          <xsd:enumeration value="Korrespondenz extern"/>
          <xsd:enumeration value="Korrespondenz intern"/>
          <xsd:enumeration value="Unterzeichnete Vereinbarungen"/>
          <xsd:enumeration value="Entwürfe"/>
          <xsd:enumeration value="Memos/Notizen"/>
          <xsd:enumeration value="Rechtliche Unterlagen"/>
          <xsd:enumeration value="Verschiedenes"/>
        </xsd:restriction>
      </xsd:simpleType>
    </xsd:element>
    <xsd:element name="Dokumentart" ma:index="17" nillable="true" ma:displayName="Dokumentart" ma:list="{81f1fb84-d37f-4a89-b37c-0800717c60e2}" ma:internalName="Dokumentar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fidentiality xmlns="http://schemas.microsoft.com/sharepoint/v3">2-internal</Confidentiality>
    <SNBDate xmlns="http://schemas.microsoft.com/sharepoint/v3/fields">2011-08-29T14:13:00+00:00</SNBDate>
    <SNBSubject xmlns="http://schemas.microsoft.com/sharepoint/v3">(none)</SNBSubject>
    <SNBDetailsubject xmlns="http://schemas.microsoft.com/sharepoint/v3">(none)</SNBDetailsubject>
    <SNBContext xmlns="http://schemas.microsoft.com/sharepoint/v3" xsi:nil="true"/>
    <SNBDescription xmlns="http://schemas.microsoft.com/sharepoint/v3" xsi:nil="true"/>
    <Dokumentart xmlns="2c124adb-d4cf-47d5-972a-95dc00093d90" xsi:nil="true"/>
    <SNBAuthor xmlns="http://schemas.microsoft.com/sharepoint/v3" xsi:nil="true"/>
    <Documenttype xmlns="2c124adb-d4cf-47d5-972a-95dc00093d9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2810A-D376-4EAD-B7F7-A033077E9C50}">
  <ds:schemaRefs>
    <ds:schemaRef ds:uri="http://schemas.microsoft.com/office/2006/metadata/longProperties"/>
  </ds:schemaRefs>
</ds:datastoreItem>
</file>

<file path=customXml/itemProps2.xml><?xml version="1.0" encoding="utf-8"?>
<ds:datastoreItem xmlns:ds="http://schemas.openxmlformats.org/officeDocument/2006/customXml" ds:itemID="{F6C10E3E-C686-483F-A17A-68AE1EC22E29}">
  <ds:schemaRefs>
    <ds:schemaRef ds:uri="http://schemas.microsoft.com/sharepoint/v3/contenttype/forms"/>
  </ds:schemaRefs>
</ds:datastoreItem>
</file>

<file path=customXml/itemProps3.xml><?xml version="1.0" encoding="utf-8"?>
<ds:datastoreItem xmlns:ds="http://schemas.openxmlformats.org/officeDocument/2006/customXml" ds:itemID="{CF794063-7ABF-4DFE-BBAB-0D9F973CA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c124adb-d4cf-47d5-972a-95dc0009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1CAE5B-DDCA-4F6A-87C2-4D04E16554B1}">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2c124adb-d4cf-47d5-972a-95dc00093d90"/>
  </ds:schemaRefs>
</ds:datastoreItem>
</file>

<file path=customXml/itemProps5.xml><?xml version="1.0" encoding="utf-8"?>
<ds:datastoreItem xmlns:ds="http://schemas.openxmlformats.org/officeDocument/2006/customXml" ds:itemID="{E98B63F9-5C75-4E13-9D1D-77CF2F0A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5</Pages>
  <Words>834</Words>
  <Characters>4754</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Videoconference with representatives of</vt:lpstr>
      <vt:lpstr>Videoconference with representatives of</vt:lpstr>
    </vt:vector>
  </TitlesOfParts>
  <Company>SNB+</Company>
  <LinksUpToDate>false</LinksUpToDate>
  <CharactersWithSpaces>5577</CharactersWithSpaces>
  <SharedDoc>false</SharedDoc>
  <HLinks>
    <vt:vector size="30" baseType="variant">
      <vt:variant>
        <vt:i4>2818135</vt:i4>
      </vt:variant>
      <vt:variant>
        <vt:i4>12</vt:i4>
      </vt:variant>
      <vt:variant>
        <vt:i4>0</vt:i4>
      </vt:variant>
      <vt:variant>
        <vt:i4>5</vt:i4>
      </vt:variant>
      <vt:variant>
        <vt:lpwstr>mailto:denisewong@mas.gov.sg</vt:lpwstr>
      </vt:variant>
      <vt:variant>
        <vt:lpwstr/>
      </vt:variant>
      <vt:variant>
        <vt:i4>1835134</vt:i4>
      </vt:variant>
      <vt:variant>
        <vt:i4>9</vt:i4>
      </vt:variant>
      <vt:variant>
        <vt:i4>0</vt:i4>
      </vt:variant>
      <vt:variant>
        <vt:i4>5</vt:i4>
      </vt:variant>
      <vt:variant>
        <vt:lpwstr>mailto:Yvonne_FK_TSUI@hkma.gov.hk</vt:lpwstr>
      </vt:variant>
      <vt:variant>
        <vt:lpwstr/>
      </vt:variant>
      <vt:variant>
        <vt:i4>7667726</vt:i4>
      </vt:variant>
      <vt:variant>
        <vt:i4>6</vt:i4>
      </vt:variant>
      <vt:variant>
        <vt:i4>0</vt:i4>
      </vt:variant>
      <vt:variant>
        <vt:i4>5</vt:i4>
      </vt:variant>
      <vt:variant>
        <vt:lpwstr>mailto:Stefan_M_Gannon@hkma.gov.hk</vt:lpwstr>
      </vt:variant>
      <vt:variant>
        <vt:lpwstr/>
      </vt:variant>
      <vt:variant>
        <vt:i4>3735574</vt:i4>
      </vt:variant>
      <vt:variant>
        <vt:i4>3</vt:i4>
      </vt:variant>
      <vt:variant>
        <vt:i4>0</vt:i4>
      </vt:variant>
      <vt:variant>
        <vt:i4>5</vt:i4>
      </vt:variant>
      <vt:variant>
        <vt:lpwstr>mailto:michael.nelson@ny.frb.org</vt:lpwstr>
      </vt:variant>
      <vt:variant>
        <vt:lpwstr/>
      </vt:variant>
      <vt:variant>
        <vt:i4>4325498</vt:i4>
      </vt:variant>
      <vt:variant>
        <vt:i4>0</vt:i4>
      </vt:variant>
      <vt:variant>
        <vt:i4>0</vt:i4>
      </vt:variant>
      <vt:variant>
        <vt:i4>5</vt:i4>
      </vt:variant>
      <vt:variant>
        <vt:lpwstr>mailto:Joyce.Hansen@ny.frb.org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Videoconference with representatives of</dc:title>
  <dc:creator>kch</dc:creator>
  <cp:lastModifiedBy>Gomez Ventura, German</cp:lastModifiedBy>
  <cp:revision>67</cp:revision>
  <cp:lastPrinted>2018-10-24T01:14:00Z</cp:lastPrinted>
  <dcterms:created xsi:type="dcterms:W3CDTF">2018-10-23T06:31:00Z</dcterms:created>
  <dcterms:modified xsi:type="dcterms:W3CDTF">2018-11-20T16:01:00Z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Kessler Christina</vt:lpwstr>
  </property>
  <property fmtid="{D5CDD505-2E9C-101B-9397-08002B2CF9AE}" pid="3" name="TemplateUrl">
    <vt:lpwstr/>
  </property>
  <property fmtid="{D5CDD505-2E9C-101B-9397-08002B2CF9AE}" pid="4" name="EmailCC">
    <vt:lpwstr/>
  </property>
  <property fmtid="{D5CDD505-2E9C-101B-9397-08002B2CF9AE}" pid="5" name="Order">
    <vt:lpwstr>1927800.00000000</vt:lpwstr>
  </property>
  <property fmtid="{D5CDD505-2E9C-101B-9397-08002B2CF9AE}" pid="6" name="xd_ProgID">
    <vt:lpwstr/>
  </property>
  <property fmtid="{D5CDD505-2E9C-101B-9397-08002B2CF9AE}" pid="7" name="display_urn:schemas-microsoft-com:office:office#Author">
    <vt:lpwstr>Kessler Christina</vt:lpwstr>
  </property>
  <property fmtid="{D5CDD505-2E9C-101B-9397-08002B2CF9AE}" pid="8" name="EmailInReplyTo">
    <vt:lpwstr/>
  </property>
  <property fmtid="{D5CDD505-2E9C-101B-9397-08002B2CF9AE}" pid="9" name="EmailSubject1">
    <vt:lpwstr/>
  </property>
  <property fmtid="{D5CDD505-2E9C-101B-9397-08002B2CF9AE}" pid="10" name="To">
    <vt:lpwstr/>
  </property>
  <property fmtid="{D5CDD505-2E9C-101B-9397-08002B2CF9AE}" pid="11" name="EmailReferences1">
    <vt:lpwstr/>
  </property>
  <property fmtid="{D5CDD505-2E9C-101B-9397-08002B2CF9AE}" pid="12" name="EmailSender1">
    <vt:lpwstr/>
  </property>
  <property fmtid="{D5CDD505-2E9C-101B-9397-08002B2CF9AE}" pid="13" name="EmailReceived">
    <vt:lpwstr/>
  </property>
  <property fmtid="{D5CDD505-2E9C-101B-9397-08002B2CF9AE}" pid="14" name="HasAttachments">
    <vt:lpwstr>0</vt:lpwstr>
  </property>
  <property fmtid="{D5CDD505-2E9C-101B-9397-08002B2CF9AE}" pid="15" name="EmailReplyTo">
    <vt:lpwstr/>
  </property>
  <property fmtid="{D5CDD505-2E9C-101B-9397-08002B2CF9AE}" pid="16" name="From">
    <vt:lpwstr/>
  </property>
</Properties>
</file>